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F816" w14:textId="77777777" w:rsidR="008C6244" w:rsidRDefault="008C6244">
      <w:pPr>
        <w:pStyle w:val="Standard"/>
        <w:shd w:val="clear" w:color="auto" w:fill="FFFFFF"/>
        <w:jc w:val="center"/>
        <w:rPr>
          <w:rFonts w:ascii="Caladea" w:hAnsi="Caladea" w:hint="eastAsia"/>
          <w:b/>
          <w:bCs/>
          <w:color w:val="000000"/>
          <w:sz w:val="26"/>
          <w:szCs w:val="26"/>
        </w:rPr>
      </w:pPr>
    </w:p>
    <w:p w14:paraId="7A645FD8" w14:textId="77777777" w:rsidR="008C6244" w:rsidRDefault="00000000">
      <w:pPr>
        <w:pStyle w:val="Standard"/>
        <w:shd w:val="clear" w:color="auto" w:fill="FFFFFF"/>
        <w:jc w:val="center"/>
        <w:rPr>
          <w:rFonts w:ascii="Caladea" w:hAnsi="Caladea" w:hint="eastAsia"/>
          <w:b/>
          <w:bCs/>
          <w:color w:val="000000"/>
          <w:sz w:val="26"/>
          <w:szCs w:val="26"/>
        </w:rPr>
      </w:pPr>
      <w:r>
        <w:rPr>
          <w:rFonts w:ascii="Caladea" w:hAnsi="Caladea"/>
          <w:b/>
          <w:bCs/>
          <w:color w:val="000000"/>
          <w:sz w:val="26"/>
          <w:szCs w:val="26"/>
        </w:rPr>
        <w:t>BAREME DES HONORAIRES DE L'AGENCE</w:t>
      </w:r>
    </w:p>
    <w:p w14:paraId="77BDEB69" w14:textId="77777777" w:rsidR="008C6244" w:rsidRDefault="00000000">
      <w:pPr>
        <w:pStyle w:val="Standard"/>
        <w:jc w:val="both"/>
        <w:rPr>
          <w:rFonts w:ascii="Caladea" w:hAnsi="Caladea" w:hint="eastAsia"/>
          <w:color w:val="579D1C"/>
          <w:sz w:val="20"/>
          <w:szCs w:val="20"/>
        </w:rPr>
      </w:pPr>
      <w:r>
        <w:rPr>
          <w:rFonts w:ascii="Caladea" w:hAnsi="Caladea"/>
          <w:noProof/>
          <w:color w:val="579D1C"/>
          <w:sz w:val="20"/>
          <w:szCs w:val="20"/>
        </w:rPr>
        <w:drawing>
          <wp:anchor distT="0" distB="0" distL="114300" distR="114300" simplePos="0" relativeHeight="251658240" behindDoc="0" locked="0" layoutInCell="1" allowOverlap="1" wp14:anchorId="334F6A4B" wp14:editId="08AD8934">
            <wp:simplePos x="0" y="0"/>
            <wp:positionH relativeFrom="column">
              <wp:posOffset>511200</wp:posOffset>
            </wp:positionH>
            <wp:positionV relativeFrom="paragraph">
              <wp:posOffset>-114480</wp:posOffset>
            </wp:positionV>
            <wp:extent cx="5460480" cy="1283400"/>
            <wp:effectExtent l="0" t="0" r="6870" b="0"/>
            <wp:wrapTopAndBottom/>
            <wp:docPr id="1663502477"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60480" cy="1283400"/>
                    </a:xfrm>
                    <a:prstGeom prst="rect">
                      <a:avLst/>
                    </a:prstGeom>
                  </pic:spPr>
                </pic:pic>
              </a:graphicData>
            </a:graphic>
          </wp:anchor>
        </w:drawing>
      </w:r>
      <w:r>
        <w:rPr>
          <w:rFonts w:ascii="Caladea" w:hAnsi="Caladea"/>
          <w:color w:val="579D1C"/>
          <w:sz w:val="20"/>
          <w:szCs w:val="20"/>
        </w:rPr>
        <w:t>(</w:t>
      </w:r>
      <w:proofErr w:type="gramStart"/>
      <w:r>
        <w:rPr>
          <w:rFonts w:ascii="Caladea" w:hAnsi="Caladea"/>
          <w:color w:val="579D1C"/>
          <w:sz w:val="20"/>
          <w:szCs w:val="20"/>
        </w:rPr>
        <w:t>les</w:t>
      </w:r>
      <w:proofErr w:type="gramEnd"/>
      <w:r>
        <w:rPr>
          <w:rFonts w:ascii="Caladea" w:hAnsi="Caladea"/>
          <w:color w:val="579D1C"/>
          <w:sz w:val="20"/>
          <w:szCs w:val="20"/>
        </w:rPr>
        <w:t xml:space="preserve"> tarifs sont rédigés au taux de TVA en vigueur (soit 8,5%), les honoraires sont exprimés en euros TTC et sont dus lors de la conclusion de l'acte authentique chez le notaire pour toute vente immobilière et le jour de la signature du bail pour toute location)  </w:t>
      </w:r>
    </w:p>
    <w:p w14:paraId="4BFD046B" w14:textId="77777777" w:rsidR="008C6244" w:rsidRDefault="00000000">
      <w:pPr>
        <w:pStyle w:val="Standard"/>
        <w:jc w:val="center"/>
        <w:rPr>
          <w:rFonts w:ascii="Caladea" w:hAnsi="Caladea" w:hint="eastAsia"/>
          <w:b/>
          <w:bCs/>
          <w:color w:val="000000"/>
          <w:sz w:val="24"/>
          <w:szCs w:val="24"/>
          <w:u w:val="single"/>
        </w:rPr>
      </w:pPr>
      <w:r>
        <w:rPr>
          <w:rFonts w:ascii="Caladea" w:hAnsi="Caladea"/>
          <w:b/>
          <w:bCs/>
          <w:color w:val="000000"/>
          <w:sz w:val="24"/>
          <w:szCs w:val="24"/>
          <w:u w:val="single"/>
        </w:rPr>
        <w:t>VENTE</w:t>
      </w:r>
    </w:p>
    <w:p w14:paraId="449F5EA7" w14:textId="77777777" w:rsidR="008C6244" w:rsidRDefault="00000000">
      <w:pPr>
        <w:pStyle w:val="Standard"/>
        <w:spacing w:line="240" w:lineRule="auto"/>
        <w:jc w:val="center"/>
        <w:rPr>
          <w:rFonts w:ascii="Caladea" w:hAnsi="Caladea" w:hint="eastAsia"/>
          <w:color w:val="111111"/>
          <w:sz w:val="20"/>
          <w:szCs w:val="20"/>
        </w:rPr>
      </w:pPr>
      <w:r>
        <w:rPr>
          <w:rFonts w:ascii="Caladea" w:hAnsi="Caladea"/>
          <w:b/>
          <w:bCs/>
          <w:color w:val="111111"/>
          <w:sz w:val="20"/>
          <w:szCs w:val="20"/>
        </w:rPr>
        <w:t xml:space="preserve"> </w:t>
      </w:r>
      <w:r>
        <w:rPr>
          <w:rFonts w:ascii="Caladea" w:hAnsi="Caladea"/>
          <w:color w:val="111111"/>
          <w:sz w:val="20"/>
          <w:szCs w:val="20"/>
        </w:rPr>
        <w:t>Honoraires / Ventes TTC</w:t>
      </w:r>
    </w:p>
    <w:tbl>
      <w:tblPr>
        <w:tblW w:w="10965" w:type="dxa"/>
        <w:tblLayout w:type="fixed"/>
        <w:tblCellMar>
          <w:left w:w="10" w:type="dxa"/>
          <w:right w:w="10" w:type="dxa"/>
        </w:tblCellMar>
        <w:tblLook w:val="0000" w:firstRow="0" w:lastRow="0" w:firstColumn="0" w:lastColumn="0" w:noHBand="0" w:noVBand="0"/>
      </w:tblPr>
      <w:tblGrid>
        <w:gridCol w:w="5482"/>
        <w:gridCol w:w="5483"/>
      </w:tblGrid>
      <w:tr w:rsidR="008C6244" w14:paraId="06A352A7" w14:textId="77777777">
        <w:tblPrEx>
          <w:tblCellMar>
            <w:top w:w="0" w:type="dxa"/>
            <w:bottom w:w="0" w:type="dxa"/>
          </w:tblCellMar>
        </w:tblPrEx>
        <w:tc>
          <w:tcPr>
            <w:tcW w:w="5482" w:type="dxa"/>
            <w:tcBorders>
              <w:top w:val="single" w:sz="2" w:space="0" w:color="000000"/>
              <w:left w:val="single" w:sz="2" w:space="0" w:color="000000"/>
              <w:bottom w:val="single" w:sz="2" w:space="0" w:color="000000"/>
            </w:tcBorders>
            <w:tcMar>
              <w:top w:w="55" w:type="dxa"/>
              <w:left w:w="55" w:type="dxa"/>
              <w:bottom w:w="55" w:type="dxa"/>
              <w:right w:w="55" w:type="dxa"/>
            </w:tcMar>
          </w:tcPr>
          <w:p w14:paraId="30FF0815" w14:textId="77777777" w:rsidR="008C6244" w:rsidRDefault="00000000">
            <w:pPr>
              <w:pStyle w:val="TableContents"/>
              <w:jc w:val="center"/>
              <w:rPr>
                <w:rFonts w:ascii="Caladea" w:hAnsi="Caladea" w:hint="eastAsia"/>
                <w:color w:val="111111"/>
                <w:sz w:val="20"/>
                <w:szCs w:val="20"/>
              </w:rPr>
            </w:pPr>
            <w:r>
              <w:rPr>
                <w:rFonts w:ascii="Caladea" w:hAnsi="Caladea"/>
                <w:color w:val="111111"/>
                <w:sz w:val="20"/>
                <w:szCs w:val="20"/>
              </w:rPr>
              <w:t>Prix de vente</w:t>
            </w:r>
          </w:p>
        </w:tc>
        <w:tc>
          <w:tcPr>
            <w:tcW w:w="548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E5D82F" w14:textId="77777777" w:rsidR="008C6244" w:rsidRDefault="00000000">
            <w:pPr>
              <w:pStyle w:val="TableContents"/>
              <w:jc w:val="center"/>
              <w:rPr>
                <w:rFonts w:ascii="Caladea" w:hAnsi="Caladea" w:hint="eastAsia"/>
                <w:color w:val="111111"/>
                <w:sz w:val="20"/>
                <w:szCs w:val="20"/>
              </w:rPr>
            </w:pPr>
            <w:r>
              <w:rPr>
                <w:rFonts w:ascii="Caladea" w:hAnsi="Caladea"/>
                <w:color w:val="111111"/>
                <w:sz w:val="20"/>
                <w:szCs w:val="20"/>
              </w:rPr>
              <w:t>Maisons, appartements, terrains, locaux.</w:t>
            </w:r>
          </w:p>
        </w:tc>
      </w:tr>
      <w:tr w:rsidR="008C6244" w14:paraId="60FBF064" w14:textId="77777777">
        <w:tblPrEx>
          <w:tblCellMar>
            <w:top w:w="0" w:type="dxa"/>
            <w:bottom w:w="0" w:type="dxa"/>
          </w:tblCellMar>
        </w:tblPrEx>
        <w:tc>
          <w:tcPr>
            <w:tcW w:w="5482" w:type="dxa"/>
            <w:tcBorders>
              <w:left w:val="single" w:sz="2" w:space="0" w:color="000000"/>
              <w:bottom w:val="single" w:sz="2" w:space="0" w:color="000000"/>
            </w:tcBorders>
            <w:tcMar>
              <w:top w:w="55" w:type="dxa"/>
              <w:left w:w="55" w:type="dxa"/>
              <w:bottom w:w="55" w:type="dxa"/>
              <w:right w:w="55" w:type="dxa"/>
            </w:tcMar>
          </w:tcPr>
          <w:p w14:paraId="42A68066" w14:textId="77777777" w:rsidR="008C6244" w:rsidRDefault="00000000">
            <w:pPr>
              <w:pStyle w:val="TableContents"/>
              <w:rPr>
                <w:rFonts w:ascii="Caladea" w:hAnsi="Caladea" w:hint="eastAsia"/>
                <w:sz w:val="20"/>
                <w:szCs w:val="20"/>
              </w:rPr>
            </w:pPr>
            <w:r>
              <w:rPr>
                <w:rFonts w:ascii="Caladea" w:hAnsi="Caladea"/>
                <w:sz w:val="20"/>
                <w:szCs w:val="20"/>
              </w:rPr>
              <w:t>De 0 à 50 000€</w:t>
            </w:r>
          </w:p>
        </w:tc>
        <w:tc>
          <w:tcPr>
            <w:tcW w:w="54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989795" w14:textId="77777777" w:rsidR="008C6244" w:rsidRDefault="00000000">
            <w:pPr>
              <w:pStyle w:val="TableContents"/>
              <w:jc w:val="center"/>
              <w:rPr>
                <w:rFonts w:ascii="Caladea" w:hAnsi="Caladea" w:hint="eastAsia"/>
                <w:sz w:val="20"/>
                <w:szCs w:val="20"/>
              </w:rPr>
            </w:pPr>
            <w:r>
              <w:rPr>
                <w:rFonts w:ascii="Caladea" w:hAnsi="Caladea"/>
                <w:sz w:val="20"/>
                <w:szCs w:val="20"/>
              </w:rPr>
              <w:t>Forfait de</w:t>
            </w:r>
            <w:r>
              <w:rPr>
                <w:rFonts w:ascii="Caladea" w:hAnsi="Caladea"/>
                <w:b/>
                <w:bCs/>
                <w:sz w:val="20"/>
                <w:szCs w:val="20"/>
              </w:rPr>
              <w:t xml:space="preserve"> </w:t>
            </w:r>
            <w:r>
              <w:rPr>
                <w:rFonts w:ascii="Caladea" w:hAnsi="Caladea"/>
                <w:b/>
                <w:bCs/>
                <w:color w:val="579D1C"/>
                <w:sz w:val="20"/>
                <w:szCs w:val="20"/>
              </w:rPr>
              <w:t xml:space="preserve">5500€ </w:t>
            </w:r>
            <w:r>
              <w:rPr>
                <w:rFonts w:ascii="Caladea" w:hAnsi="Caladea"/>
                <w:sz w:val="20"/>
                <w:szCs w:val="20"/>
              </w:rPr>
              <w:t>TTC</w:t>
            </w:r>
          </w:p>
        </w:tc>
      </w:tr>
      <w:tr w:rsidR="008C6244" w14:paraId="6CBC65EF" w14:textId="77777777">
        <w:tblPrEx>
          <w:tblCellMar>
            <w:top w:w="0" w:type="dxa"/>
            <w:bottom w:w="0" w:type="dxa"/>
          </w:tblCellMar>
        </w:tblPrEx>
        <w:tc>
          <w:tcPr>
            <w:tcW w:w="5482" w:type="dxa"/>
            <w:tcBorders>
              <w:left w:val="single" w:sz="2" w:space="0" w:color="000000"/>
              <w:bottom w:val="single" w:sz="2" w:space="0" w:color="000000"/>
            </w:tcBorders>
            <w:tcMar>
              <w:top w:w="55" w:type="dxa"/>
              <w:left w:w="55" w:type="dxa"/>
              <w:bottom w:w="55" w:type="dxa"/>
              <w:right w:w="55" w:type="dxa"/>
            </w:tcMar>
          </w:tcPr>
          <w:p w14:paraId="3C420E2F" w14:textId="77777777" w:rsidR="008C6244" w:rsidRDefault="00000000">
            <w:pPr>
              <w:pStyle w:val="TableContents"/>
              <w:rPr>
                <w:rFonts w:ascii="Caladea" w:hAnsi="Caladea" w:hint="eastAsia"/>
                <w:sz w:val="20"/>
                <w:szCs w:val="20"/>
              </w:rPr>
            </w:pPr>
            <w:r>
              <w:rPr>
                <w:rFonts w:ascii="Caladea" w:hAnsi="Caladea"/>
                <w:sz w:val="20"/>
                <w:szCs w:val="20"/>
              </w:rPr>
              <w:t>De 50 000€ à 90 000€</w:t>
            </w:r>
          </w:p>
        </w:tc>
        <w:tc>
          <w:tcPr>
            <w:tcW w:w="54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270374"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9%</w:t>
            </w:r>
            <w:r>
              <w:rPr>
                <w:rFonts w:ascii="Caladea" w:hAnsi="Caladea"/>
                <w:sz w:val="20"/>
                <w:szCs w:val="20"/>
              </w:rPr>
              <w:t xml:space="preserve"> TTC</w:t>
            </w:r>
          </w:p>
        </w:tc>
      </w:tr>
      <w:tr w:rsidR="008C6244" w14:paraId="01FE15AD" w14:textId="77777777">
        <w:tblPrEx>
          <w:tblCellMar>
            <w:top w:w="0" w:type="dxa"/>
            <w:bottom w:w="0" w:type="dxa"/>
          </w:tblCellMar>
        </w:tblPrEx>
        <w:tc>
          <w:tcPr>
            <w:tcW w:w="5482" w:type="dxa"/>
            <w:tcBorders>
              <w:left w:val="single" w:sz="2" w:space="0" w:color="000000"/>
              <w:bottom w:val="single" w:sz="2" w:space="0" w:color="000000"/>
            </w:tcBorders>
            <w:tcMar>
              <w:top w:w="55" w:type="dxa"/>
              <w:left w:w="55" w:type="dxa"/>
              <w:bottom w:w="55" w:type="dxa"/>
              <w:right w:w="55" w:type="dxa"/>
            </w:tcMar>
          </w:tcPr>
          <w:p w14:paraId="129F7824" w14:textId="77777777" w:rsidR="008C6244" w:rsidRDefault="00000000">
            <w:pPr>
              <w:pStyle w:val="TableContents"/>
              <w:rPr>
                <w:rFonts w:ascii="Caladea" w:hAnsi="Caladea" w:hint="eastAsia"/>
                <w:sz w:val="20"/>
                <w:szCs w:val="20"/>
              </w:rPr>
            </w:pPr>
            <w:r>
              <w:rPr>
                <w:rFonts w:ascii="Caladea" w:hAnsi="Caladea"/>
                <w:sz w:val="20"/>
                <w:szCs w:val="20"/>
              </w:rPr>
              <w:t>De 90 001€ à 130 000€</w:t>
            </w:r>
          </w:p>
        </w:tc>
        <w:tc>
          <w:tcPr>
            <w:tcW w:w="54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D0A95D"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 xml:space="preserve">8% </w:t>
            </w:r>
            <w:r>
              <w:rPr>
                <w:rFonts w:ascii="Caladea" w:hAnsi="Caladea"/>
                <w:sz w:val="20"/>
                <w:szCs w:val="20"/>
              </w:rPr>
              <w:t>TTC</w:t>
            </w:r>
          </w:p>
        </w:tc>
      </w:tr>
      <w:tr w:rsidR="008C6244" w14:paraId="182CE833" w14:textId="77777777">
        <w:tblPrEx>
          <w:tblCellMar>
            <w:top w:w="0" w:type="dxa"/>
            <w:bottom w:w="0" w:type="dxa"/>
          </w:tblCellMar>
        </w:tblPrEx>
        <w:tc>
          <w:tcPr>
            <w:tcW w:w="5482" w:type="dxa"/>
            <w:tcBorders>
              <w:left w:val="single" w:sz="2" w:space="0" w:color="000000"/>
              <w:bottom w:val="single" w:sz="2" w:space="0" w:color="000000"/>
            </w:tcBorders>
            <w:tcMar>
              <w:top w:w="55" w:type="dxa"/>
              <w:left w:w="55" w:type="dxa"/>
              <w:bottom w:w="55" w:type="dxa"/>
              <w:right w:w="55" w:type="dxa"/>
            </w:tcMar>
          </w:tcPr>
          <w:p w14:paraId="0B924CDE" w14:textId="77777777" w:rsidR="008C6244" w:rsidRDefault="00000000">
            <w:pPr>
              <w:pStyle w:val="TableContents"/>
              <w:rPr>
                <w:rFonts w:ascii="Caladea" w:hAnsi="Caladea" w:hint="eastAsia"/>
                <w:sz w:val="20"/>
                <w:szCs w:val="20"/>
              </w:rPr>
            </w:pPr>
            <w:r>
              <w:rPr>
                <w:rFonts w:ascii="Caladea" w:hAnsi="Caladea"/>
                <w:sz w:val="20"/>
                <w:szCs w:val="20"/>
              </w:rPr>
              <w:t>De 130 001€ à 200 000€</w:t>
            </w:r>
          </w:p>
        </w:tc>
        <w:tc>
          <w:tcPr>
            <w:tcW w:w="54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9B8AEA"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 xml:space="preserve">7% </w:t>
            </w:r>
            <w:r>
              <w:rPr>
                <w:rFonts w:ascii="Caladea" w:hAnsi="Caladea"/>
                <w:sz w:val="20"/>
                <w:szCs w:val="20"/>
              </w:rPr>
              <w:t>TTC</w:t>
            </w:r>
          </w:p>
        </w:tc>
      </w:tr>
      <w:tr w:rsidR="008C6244" w14:paraId="26C4A2A5" w14:textId="77777777">
        <w:tblPrEx>
          <w:tblCellMar>
            <w:top w:w="0" w:type="dxa"/>
            <w:bottom w:w="0" w:type="dxa"/>
          </w:tblCellMar>
        </w:tblPrEx>
        <w:tc>
          <w:tcPr>
            <w:tcW w:w="5482" w:type="dxa"/>
            <w:tcBorders>
              <w:left w:val="single" w:sz="2" w:space="0" w:color="000000"/>
              <w:bottom w:val="single" w:sz="2" w:space="0" w:color="000000"/>
            </w:tcBorders>
            <w:tcMar>
              <w:top w:w="55" w:type="dxa"/>
              <w:left w:w="55" w:type="dxa"/>
              <w:bottom w:w="55" w:type="dxa"/>
              <w:right w:w="55" w:type="dxa"/>
            </w:tcMar>
          </w:tcPr>
          <w:p w14:paraId="0DD4B5C4" w14:textId="77777777" w:rsidR="008C6244" w:rsidRDefault="00000000">
            <w:pPr>
              <w:pStyle w:val="TableContents"/>
              <w:rPr>
                <w:rFonts w:ascii="Caladea" w:hAnsi="Caladea" w:hint="eastAsia"/>
                <w:sz w:val="20"/>
                <w:szCs w:val="20"/>
              </w:rPr>
            </w:pPr>
            <w:r>
              <w:rPr>
                <w:rFonts w:ascii="Caladea" w:hAnsi="Caladea"/>
                <w:sz w:val="20"/>
                <w:szCs w:val="20"/>
              </w:rPr>
              <w:t>De 200 001€ à 300 000€</w:t>
            </w:r>
          </w:p>
        </w:tc>
        <w:tc>
          <w:tcPr>
            <w:tcW w:w="54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4DC67E"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6%</w:t>
            </w:r>
            <w:r>
              <w:rPr>
                <w:rFonts w:ascii="Caladea" w:hAnsi="Caladea"/>
                <w:color w:val="FF33FF"/>
                <w:sz w:val="20"/>
                <w:szCs w:val="20"/>
              </w:rPr>
              <w:t xml:space="preserve"> </w:t>
            </w:r>
            <w:r>
              <w:rPr>
                <w:rFonts w:ascii="Caladea" w:hAnsi="Caladea"/>
                <w:sz w:val="20"/>
                <w:szCs w:val="20"/>
              </w:rPr>
              <w:t>TTC</w:t>
            </w:r>
          </w:p>
        </w:tc>
      </w:tr>
      <w:tr w:rsidR="008C6244" w14:paraId="323510CF" w14:textId="77777777">
        <w:tblPrEx>
          <w:tblCellMar>
            <w:top w:w="0" w:type="dxa"/>
            <w:bottom w:w="0" w:type="dxa"/>
          </w:tblCellMar>
        </w:tblPrEx>
        <w:tc>
          <w:tcPr>
            <w:tcW w:w="5482" w:type="dxa"/>
            <w:tcBorders>
              <w:left w:val="single" w:sz="2" w:space="0" w:color="000000"/>
              <w:bottom w:val="single" w:sz="2" w:space="0" w:color="000000"/>
            </w:tcBorders>
            <w:tcMar>
              <w:top w:w="55" w:type="dxa"/>
              <w:left w:w="55" w:type="dxa"/>
              <w:bottom w:w="55" w:type="dxa"/>
              <w:right w:w="55" w:type="dxa"/>
            </w:tcMar>
          </w:tcPr>
          <w:p w14:paraId="60A069BC" w14:textId="77777777" w:rsidR="008C6244" w:rsidRDefault="00000000">
            <w:pPr>
              <w:pStyle w:val="TableContents"/>
              <w:rPr>
                <w:rFonts w:ascii="Caladea" w:hAnsi="Caladea" w:hint="eastAsia"/>
                <w:sz w:val="20"/>
                <w:szCs w:val="20"/>
              </w:rPr>
            </w:pPr>
            <w:r>
              <w:rPr>
                <w:rFonts w:ascii="Caladea" w:hAnsi="Caladea"/>
                <w:sz w:val="20"/>
                <w:szCs w:val="20"/>
              </w:rPr>
              <w:t>Au-delà de 300 001€</w:t>
            </w:r>
          </w:p>
        </w:tc>
        <w:tc>
          <w:tcPr>
            <w:tcW w:w="548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052A51"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5%</w:t>
            </w:r>
            <w:r>
              <w:rPr>
                <w:rFonts w:ascii="Caladea" w:hAnsi="Caladea"/>
                <w:color w:val="FF33FF"/>
                <w:sz w:val="20"/>
                <w:szCs w:val="20"/>
              </w:rPr>
              <w:t xml:space="preserve"> </w:t>
            </w:r>
            <w:r>
              <w:rPr>
                <w:rFonts w:ascii="Caladea" w:hAnsi="Caladea"/>
                <w:sz w:val="20"/>
                <w:szCs w:val="20"/>
              </w:rPr>
              <w:t>TTC</w:t>
            </w:r>
          </w:p>
        </w:tc>
      </w:tr>
    </w:tbl>
    <w:p w14:paraId="38D2B58F" w14:textId="77777777" w:rsidR="008C6244" w:rsidRDefault="00000000">
      <w:pPr>
        <w:pStyle w:val="Standard"/>
        <w:shd w:val="clear" w:color="auto" w:fill="FFFFFF"/>
        <w:spacing w:line="240" w:lineRule="auto"/>
        <w:jc w:val="center"/>
        <w:rPr>
          <w:rFonts w:ascii="Caladea" w:hAnsi="Caladea" w:hint="eastAsia"/>
          <w:b/>
          <w:bCs/>
          <w:color w:val="000000"/>
          <w:sz w:val="24"/>
          <w:szCs w:val="24"/>
          <w:u w:val="single"/>
        </w:rPr>
      </w:pPr>
      <w:r>
        <w:rPr>
          <w:rFonts w:ascii="Caladea" w:hAnsi="Caladea"/>
          <w:b/>
          <w:bCs/>
          <w:color w:val="000000"/>
          <w:sz w:val="24"/>
          <w:szCs w:val="24"/>
          <w:u w:val="single"/>
        </w:rPr>
        <w:t>EXPERTISE</w:t>
      </w:r>
    </w:p>
    <w:p w14:paraId="068BF90F" w14:textId="77777777" w:rsidR="008C6244" w:rsidRDefault="00000000">
      <w:pPr>
        <w:pStyle w:val="Standard"/>
        <w:spacing w:line="240" w:lineRule="auto"/>
        <w:jc w:val="center"/>
        <w:rPr>
          <w:rFonts w:ascii="Caladea" w:hAnsi="Caladea" w:hint="eastAsia"/>
          <w:color w:val="111111"/>
          <w:sz w:val="20"/>
          <w:szCs w:val="20"/>
        </w:rPr>
      </w:pPr>
      <w:r>
        <w:rPr>
          <w:rFonts w:ascii="Caladea" w:hAnsi="Caladea"/>
          <w:color w:val="111111"/>
          <w:sz w:val="20"/>
          <w:szCs w:val="20"/>
        </w:rPr>
        <w:t>Estimation de vente avec la réalisation d'une étude comparative de marché (à la charge du demandeur)</w:t>
      </w:r>
    </w:p>
    <w:tbl>
      <w:tblPr>
        <w:tblW w:w="10965" w:type="dxa"/>
        <w:tblLayout w:type="fixed"/>
        <w:tblCellMar>
          <w:left w:w="10" w:type="dxa"/>
          <w:right w:w="10" w:type="dxa"/>
        </w:tblCellMar>
        <w:tblLook w:val="0000" w:firstRow="0" w:lastRow="0" w:firstColumn="0" w:lastColumn="0" w:noHBand="0" w:noVBand="0"/>
      </w:tblPr>
      <w:tblGrid>
        <w:gridCol w:w="4327"/>
        <w:gridCol w:w="4459"/>
        <w:gridCol w:w="2179"/>
      </w:tblGrid>
      <w:tr w:rsidR="008C6244" w14:paraId="4E80161F" w14:textId="77777777">
        <w:tblPrEx>
          <w:tblCellMar>
            <w:top w:w="0" w:type="dxa"/>
            <w:bottom w:w="0" w:type="dxa"/>
          </w:tblCellMar>
        </w:tblPrEx>
        <w:tc>
          <w:tcPr>
            <w:tcW w:w="4327" w:type="dxa"/>
            <w:tcBorders>
              <w:top w:val="single" w:sz="2" w:space="0" w:color="000000"/>
              <w:left w:val="single" w:sz="2" w:space="0" w:color="000000"/>
              <w:bottom w:val="single" w:sz="2" w:space="0" w:color="000000"/>
            </w:tcBorders>
            <w:tcMar>
              <w:top w:w="55" w:type="dxa"/>
              <w:left w:w="55" w:type="dxa"/>
              <w:bottom w:w="55" w:type="dxa"/>
              <w:right w:w="55" w:type="dxa"/>
            </w:tcMar>
          </w:tcPr>
          <w:p w14:paraId="42DE5A37" w14:textId="77777777" w:rsidR="008C6244" w:rsidRDefault="00000000">
            <w:pPr>
              <w:pStyle w:val="TableContents"/>
              <w:jc w:val="center"/>
              <w:rPr>
                <w:rFonts w:ascii="Caladea" w:hAnsi="Caladea" w:hint="eastAsia"/>
                <w:sz w:val="20"/>
                <w:szCs w:val="20"/>
              </w:rPr>
            </w:pPr>
            <w:r>
              <w:rPr>
                <w:rFonts w:ascii="Caladea" w:hAnsi="Caladea"/>
                <w:sz w:val="20"/>
                <w:szCs w:val="20"/>
              </w:rPr>
              <w:t>Simple</w:t>
            </w:r>
          </w:p>
        </w:tc>
        <w:tc>
          <w:tcPr>
            <w:tcW w:w="4459" w:type="dxa"/>
            <w:tcBorders>
              <w:top w:val="single" w:sz="2" w:space="0" w:color="000000"/>
              <w:left w:val="single" w:sz="2" w:space="0" w:color="000000"/>
              <w:bottom w:val="single" w:sz="2" w:space="0" w:color="000000"/>
            </w:tcBorders>
            <w:tcMar>
              <w:top w:w="55" w:type="dxa"/>
              <w:left w:w="55" w:type="dxa"/>
              <w:bottom w:w="55" w:type="dxa"/>
              <w:right w:w="55" w:type="dxa"/>
            </w:tcMar>
          </w:tcPr>
          <w:p w14:paraId="6737B86F" w14:textId="77777777" w:rsidR="008C6244" w:rsidRDefault="00000000">
            <w:pPr>
              <w:pStyle w:val="TableContents"/>
              <w:jc w:val="center"/>
              <w:rPr>
                <w:rFonts w:ascii="Caladea" w:hAnsi="Caladea" w:hint="eastAsia"/>
                <w:sz w:val="20"/>
                <w:szCs w:val="20"/>
              </w:rPr>
            </w:pPr>
            <w:r>
              <w:rPr>
                <w:rFonts w:ascii="Caladea" w:hAnsi="Caladea"/>
                <w:sz w:val="20"/>
                <w:szCs w:val="20"/>
              </w:rPr>
              <w:t>Détaillée</w:t>
            </w:r>
          </w:p>
        </w:tc>
        <w:tc>
          <w:tcPr>
            <w:tcW w:w="217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AB6CF7" w14:textId="77777777" w:rsidR="008C6244" w:rsidRDefault="00000000">
            <w:pPr>
              <w:pStyle w:val="TableContents"/>
              <w:jc w:val="center"/>
              <w:rPr>
                <w:rFonts w:ascii="Caladea" w:hAnsi="Caladea" w:hint="eastAsia"/>
                <w:sz w:val="20"/>
                <w:szCs w:val="20"/>
              </w:rPr>
            </w:pPr>
            <w:r>
              <w:rPr>
                <w:rFonts w:ascii="Caladea" w:hAnsi="Caladea"/>
                <w:sz w:val="20"/>
                <w:szCs w:val="20"/>
              </w:rPr>
              <w:t>Conduit à un mandat</w:t>
            </w:r>
          </w:p>
        </w:tc>
      </w:tr>
      <w:tr w:rsidR="008C6244" w14:paraId="3496274C" w14:textId="77777777">
        <w:tblPrEx>
          <w:tblCellMar>
            <w:top w:w="0" w:type="dxa"/>
            <w:bottom w:w="0" w:type="dxa"/>
          </w:tblCellMar>
        </w:tblPrEx>
        <w:trPr>
          <w:trHeight w:val="3230"/>
        </w:trPr>
        <w:tc>
          <w:tcPr>
            <w:tcW w:w="4327" w:type="dxa"/>
            <w:tcBorders>
              <w:left w:val="single" w:sz="2" w:space="0" w:color="000000"/>
              <w:bottom w:val="single" w:sz="2" w:space="0" w:color="000000"/>
            </w:tcBorders>
            <w:tcMar>
              <w:top w:w="55" w:type="dxa"/>
              <w:left w:w="55" w:type="dxa"/>
              <w:bottom w:w="55" w:type="dxa"/>
              <w:right w:w="55" w:type="dxa"/>
            </w:tcMar>
          </w:tcPr>
          <w:p w14:paraId="22DD8DA9" w14:textId="6E0F8EAE" w:rsidR="008C6244" w:rsidRDefault="00000000">
            <w:pPr>
              <w:pStyle w:val="TableContents"/>
              <w:jc w:val="center"/>
              <w:rPr>
                <w:rFonts w:ascii="Caladea" w:hAnsi="Caladea" w:hint="eastAsia"/>
                <w:sz w:val="20"/>
                <w:szCs w:val="20"/>
              </w:rPr>
            </w:pPr>
            <w:r>
              <w:rPr>
                <w:rFonts w:ascii="Caladea" w:hAnsi="Caladea"/>
                <w:b/>
                <w:bCs/>
                <w:color w:val="579D1C"/>
                <w:sz w:val="20"/>
                <w:szCs w:val="20"/>
              </w:rPr>
              <w:t>À partir de 1</w:t>
            </w:r>
            <w:r w:rsidR="000C2DEA">
              <w:rPr>
                <w:rFonts w:ascii="Caladea" w:hAnsi="Caladea"/>
                <w:b/>
                <w:bCs/>
                <w:color w:val="579D1C"/>
                <w:sz w:val="20"/>
                <w:szCs w:val="20"/>
              </w:rPr>
              <w:t>4</w:t>
            </w:r>
            <w:r>
              <w:rPr>
                <w:rFonts w:ascii="Caladea" w:hAnsi="Caladea"/>
                <w:b/>
                <w:bCs/>
                <w:color w:val="579D1C"/>
                <w:sz w:val="20"/>
                <w:szCs w:val="20"/>
              </w:rPr>
              <w:t>9€*</w:t>
            </w:r>
            <w:r>
              <w:rPr>
                <w:rFonts w:ascii="Caladea" w:hAnsi="Caladea"/>
                <w:color w:val="FF00FF"/>
                <w:sz w:val="20"/>
                <w:szCs w:val="20"/>
              </w:rPr>
              <w:t xml:space="preserve"> </w:t>
            </w:r>
            <w:r>
              <w:rPr>
                <w:rFonts w:ascii="Caladea" w:hAnsi="Caladea"/>
                <w:sz w:val="20"/>
                <w:szCs w:val="20"/>
              </w:rPr>
              <w:t>TTC</w:t>
            </w:r>
          </w:p>
          <w:p w14:paraId="2890638A" w14:textId="5C4490A7" w:rsidR="008C6244" w:rsidRDefault="000C2DEA">
            <w:pPr>
              <w:pStyle w:val="TableContents"/>
              <w:rPr>
                <w:rFonts w:ascii="Caladea" w:hAnsi="Caladea" w:hint="eastAsia"/>
                <w:sz w:val="20"/>
                <w:szCs w:val="20"/>
              </w:rPr>
            </w:pPr>
            <w:r>
              <w:rPr>
                <w:rFonts w:ascii="Caladea" w:hAnsi="Caladea"/>
                <w:color w:val="111111"/>
                <w:sz w:val="20"/>
                <w:szCs w:val="20"/>
              </w:rPr>
              <w:t>Petite-Île</w:t>
            </w:r>
            <w:r w:rsidR="00000000">
              <w:rPr>
                <w:rFonts w:ascii="Caladea" w:hAnsi="Caladea"/>
                <w:color w:val="111111"/>
                <w:sz w:val="20"/>
                <w:szCs w:val="20"/>
              </w:rPr>
              <w:t xml:space="preserve"> – Saint-Pierre – Saint-Louis- Etang-Salé – Les Avirons – Saint-Philippe – Saint-Joseph – Le Tampon – En</w:t>
            </w:r>
            <w:r w:rsidR="00000000">
              <w:rPr>
                <w:rFonts w:ascii="Caladea" w:hAnsi="Caladea"/>
                <w:color w:val="000000"/>
                <w:sz w:val="20"/>
                <w:szCs w:val="20"/>
              </w:rPr>
              <w:t>t</w:t>
            </w:r>
            <w:r w:rsidR="00000000">
              <w:rPr>
                <w:rFonts w:ascii="Caladea" w:hAnsi="Caladea"/>
                <w:color w:val="333333"/>
                <w:sz w:val="20"/>
                <w:szCs w:val="20"/>
              </w:rPr>
              <w:t>re-D</w:t>
            </w:r>
            <w:r w:rsidR="00000000">
              <w:rPr>
                <w:rFonts w:ascii="Caladea" w:hAnsi="Caladea"/>
                <w:color w:val="111111"/>
                <w:sz w:val="20"/>
                <w:szCs w:val="20"/>
              </w:rPr>
              <w:t>eux :</w:t>
            </w:r>
            <w:r w:rsidR="00000000">
              <w:rPr>
                <w:rFonts w:ascii="Caladea" w:hAnsi="Caladea"/>
                <w:sz w:val="20"/>
                <w:szCs w:val="20"/>
              </w:rPr>
              <w:t xml:space="preserve"> </w:t>
            </w:r>
            <w:r w:rsidR="00000000">
              <w:rPr>
                <w:rFonts w:ascii="Caladea" w:hAnsi="Caladea"/>
                <w:b/>
                <w:bCs/>
                <w:color w:val="579D1C"/>
                <w:sz w:val="20"/>
                <w:szCs w:val="20"/>
              </w:rPr>
              <w:t xml:space="preserve">149€ </w:t>
            </w:r>
            <w:r w:rsidR="00000000">
              <w:rPr>
                <w:rFonts w:ascii="Caladea" w:hAnsi="Caladea"/>
                <w:sz w:val="20"/>
                <w:szCs w:val="20"/>
              </w:rPr>
              <w:t>TTC</w:t>
            </w:r>
          </w:p>
          <w:p w14:paraId="46476220" w14:textId="77777777" w:rsidR="008C6244" w:rsidRDefault="00000000">
            <w:pPr>
              <w:pStyle w:val="TableContents"/>
              <w:rPr>
                <w:rFonts w:ascii="Caladea" w:hAnsi="Caladea" w:hint="eastAsia"/>
                <w:sz w:val="20"/>
                <w:szCs w:val="20"/>
              </w:rPr>
            </w:pPr>
            <w:r>
              <w:rPr>
                <w:rFonts w:ascii="Caladea" w:hAnsi="Caladea"/>
                <w:sz w:val="20"/>
                <w:szCs w:val="20"/>
              </w:rPr>
              <w:t xml:space="preserve">Cilaos – Saint-André – Salazie – Bras Panon – Saint-Benoît – La-Plaine-des-Palmistes – Sainte-Rose : </w:t>
            </w:r>
            <w:r>
              <w:rPr>
                <w:rFonts w:ascii="Caladea" w:hAnsi="Caladea"/>
                <w:b/>
                <w:bCs/>
                <w:color w:val="579D1C"/>
                <w:sz w:val="20"/>
                <w:szCs w:val="20"/>
              </w:rPr>
              <w:t xml:space="preserve">399€ </w:t>
            </w:r>
            <w:r>
              <w:rPr>
                <w:rFonts w:ascii="Caladea" w:hAnsi="Caladea"/>
                <w:sz w:val="20"/>
                <w:szCs w:val="20"/>
              </w:rPr>
              <w:t>TTC</w:t>
            </w:r>
          </w:p>
          <w:p w14:paraId="3B8C39EC" w14:textId="77777777" w:rsidR="008C6244" w:rsidRDefault="00000000">
            <w:pPr>
              <w:pStyle w:val="TableContents"/>
              <w:rPr>
                <w:rFonts w:ascii="Caladea" w:hAnsi="Caladea" w:hint="eastAsia"/>
                <w:sz w:val="20"/>
                <w:szCs w:val="20"/>
              </w:rPr>
            </w:pPr>
            <w:r>
              <w:rPr>
                <w:rFonts w:ascii="Caladea" w:hAnsi="Caladea"/>
                <w:sz w:val="20"/>
                <w:szCs w:val="20"/>
              </w:rPr>
              <w:t>Saint-Denis – Sainte-Marie-Sainte-Suzanne – Saint-Leu – Trois-Bassins – Saint-Paul – La Possession – Le Port :</w:t>
            </w:r>
            <w:r>
              <w:rPr>
                <w:rFonts w:ascii="Caladea" w:hAnsi="Caladea"/>
                <w:b/>
                <w:bCs/>
                <w:color w:val="579D1C"/>
                <w:sz w:val="20"/>
                <w:szCs w:val="20"/>
              </w:rPr>
              <w:t xml:space="preserve">  199€</w:t>
            </w:r>
            <w:r>
              <w:rPr>
                <w:rFonts w:ascii="Caladea" w:hAnsi="Caladea"/>
                <w:sz w:val="20"/>
                <w:szCs w:val="20"/>
              </w:rPr>
              <w:t xml:space="preserve"> TTC</w:t>
            </w:r>
          </w:p>
          <w:p w14:paraId="0D96D37A" w14:textId="77777777" w:rsidR="008C6244" w:rsidRDefault="008C6244">
            <w:pPr>
              <w:pStyle w:val="TableContents"/>
              <w:rPr>
                <w:rFonts w:ascii="Caladea" w:hAnsi="Caladea" w:hint="eastAsia"/>
                <w:sz w:val="20"/>
                <w:szCs w:val="20"/>
              </w:rPr>
            </w:pPr>
          </w:p>
        </w:tc>
        <w:tc>
          <w:tcPr>
            <w:tcW w:w="4459" w:type="dxa"/>
            <w:tcBorders>
              <w:left w:val="single" w:sz="2" w:space="0" w:color="000000"/>
              <w:bottom w:val="single" w:sz="2" w:space="0" w:color="000000"/>
            </w:tcBorders>
            <w:tcMar>
              <w:top w:w="55" w:type="dxa"/>
              <w:left w:w="55" w:type="dxa"/>
              <w:bottom w:w="55" w:type="dxa"/>
              <w:right w:w="55" w:type="dxa"/>
            </w:tcMar>
          </w:tcPr>
          <w:p w14:paraId="6E3BA065"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À partir de 449€*</w:t>
            </w:r>
            <w:r>
              <w:rPr>
                <w:rFonts w:ascii="Caladea" w:hAnsi="Caladea"/>
                <w:color w:val="FF33FF"/>
                <w:sz w:val="20"/>
                <w:szCs w:val="20"/>
              </w:rPr>
              <w:t xml:space="preserve"> </w:t>
            </w:r>
            <w:r>
              <w:rPr>
                <w:rFonts w:ascii="Caladea" w:hAnsi="Caladea"/>
                <w:sz w:val="20"/>
                <w:szCs w:val="20"/>
              </w:rPr>
              <w:t>TTC</w:t>
            </w:r>
          </w:p>
          <w:p w14:paraId="008541ED" w14:textId="1A4D3A5D" w:rsidR="008C6244" w:rsidRDefault="000C2DEA">
            <w:pPr>
              <w:pStyle w:val="TableContents"/>
              <w:rPr>
                <w:rFonts w:ascii="Caladea" w:hAnsi="Caladea" w:hint="eastAsia"/>
                <w:sz w:val="20"/>
                <w:szCs w:val="20"/>
              </w:rPr>
            </w:pPr>
            <w:r>
              <w:rPr>
                <w:rFonts w:ascii="Caladea" w:hAnsi="Caladea"/>
                <w:color w:val="111111"/>
                <w:sz w:val="20"/>
                <w:szCs w:val="20"/>
              </w:rPr>
              <w:t>Petite-Île</w:t>
            </w:r>
            <w:r w:rsidR="00000000">
              <w:rPr>
                <w:rFonts w:ascii="Caladea" w:hAnsi="Caladea"/>
                <w:color w:val="111111"/>
                <w:sz w:val="20"/>
                <w:szCs w:val="20"/>
              </w:rPr>
              <w:t xml:space="preserve"> – Saint-Pierre – Saint-Louis- Etang-Salé – Les Avirons – Saint-Philippe – Saint-Joseph – Le Tampon – </w:t>
            </w:r>
            <w:r w:rsidR="00000000">
              <w:rPr>
                <w:rFonts w:ascii="Caladea" w:hAnsi="Caladea"/>
                <w:color w:val="000000"/>
                <w:sz w:val="20"/>
                <w:szCs w:val="20"/>
              </w:rPr>
              <w:t>Entre</w:t>
            </w:r>
            <w:r w:rsidR="00000000">
              <w:rPr>
                <w:rFonts w:ascii="Caladea" w:hAnsi="Caladea"/>
                <w:color w:val="333333"/>
                <w:sz w:val="20"/>
                <w:szCs w:val="20"/>
              </w:rPr>
              <w:t>-D</w:t>
            </w:r>
            <w:r w:rsidR="00000000">
              <w:rPr>
                <w:rFonts w:ascii="Caladea" w:hAnsi="Caladea"/>
                <w:color w:val="111111"/>
                <w:sz w:val="20"/>
                <w:szCs w:val="20"/>
              </w:rPr>
              <w:t>eux :</w:t>
            </w:r>
            <w:r w:rsidR="00000000">
              <w:rPr>
                <w:rFonts w:ascii="Caladea" w:hAnsi="Caladea"/>
                <w:sz w:val="20"/>
                <w:szCs w:val="20"/>
              </w:rPr>
              <w:t xml:space="preserve"> </w:t>
            </w:r>
            <w:r w:rsidR="00000000">
              <w:rPr>
                <w:rFonts w:ascii="Caladea" w:hAnsi="Caladea"/>
                <w:b/>
                <w:bCs/>
                <w:color w:val="579D1C"/>
                <w:sz w:val="20"/>
                <w:szCs w:val="20"/>
              </w:rPr>
              <w:t xml:space="preserve">449€ </w:t>
            </w:r>
            <w:r w:rsidR="00000000">
              <w:rPr>
                <w:rFonts w:ascii="Caladea" w:hAnsi="Caladea"/>
                <w:sz w:val="20"/>
                <w:szCs w:val="20"/>
              </w:rPr>
              <w:t>TTC</w:t>
            </w:r>
          </w:p>
          <w:p w14:paraId="133EBEB3" w14:textId="77777777" w:rsidR="008C6244" w:rsidRDefault="00000000">
            <w:pPr>
              <w:pStyle w:val="TableContents"/>
              <w:rPr>
                <w:rFonts w:ascii="Caladea" w:hAnsi="Caladea" w:hint="eastAsia"/>
                <w:sz w:val="20"/>
                <w:szCs w:val="20"/>
              </w:rPr>
            </w:pPr>
            <w:r>
              <w:rPr>
                <w:rFonts w:ascii="Caladea" w:hAnsi="Caladea"/>
                <w:sz w:val="20"/>
                <w:szCs w:val="20"/>
              </w:rPr>
              <w:t xml:space="preserve">Cilaos – Saint-André – Salazie – Bras Panon – Saint-Benoît – La-Plaine-des-Palmistes – Sainte-Rose : </w:t>
            </w:r>
            <w:r>
              <w:rPr>
                <w:rFonts w:ascii="Caladea" w:hAnsi="Caladea"/>
                <w:b/>
                <w:bCs/>
                <w:color w:val="579D1C"/>
                <w:sz w:val="20"/>
                <w:szCs w:val="20"/>
              </w:rPr>
              <w:t xml:space="preserve">849€ </w:t>
            </w:r>
            <w:r>
              <w:rPr>
                <w:rFonts w:ascii="Caladea" w:hAnsi="Caladea"/>
                <w:sz w:val="20"/>
                <w:szCs w:val="20"/>
              </w:rPr>
              <w:t>TTC</w:t>
            </w:r>
          </w:p>
          <w:p w14:paraId="692682D6" w14:textId="77777777" w:rsidR="008C6244" w:rsidRDefault="00000000">
            <w:pPr>
              <w:pStyle w:val="TableContents"/>
              <w:rPr>
                <w:rFonts w:ascii="Caladea" w:hAnsi="Caladea" w:hint="eastAsia"/>
                <w:sz w:val="20"/>
                <w:szCs w:val="20"/>
              </w:rPr>
            </w:pPr>
            <w:r>
              <w:rPr>
                <w:rFonts w:ascii="Caladea" w:hAnsi="Caladea"/>
                <w:sz w:val="20"/>
                <w:szCs w:val="20"/>
              </w:rPr>
              <w:t>Saint-Denis – Sainte-Marie-Sainte-Suzanne – Saint-Leu – Trois-Bassins – Saint-Paul – La Possession – Le Port :</w:t>
            </w:r>
            <w:r>
              <w:rPr>
                <w:rFonts w:ascii="Caladea" w:hAnsi="Caladea"/>
                <w:b/>
                <w:bCs/>
                <w:color w:val="579D1C"/>
                <w:sz w:val="20"/>
                <w:szCs w:val="20"/>
              </w:rPr>
              <w:t xml:space="preserve"> 849€</w:t>
            </w:r>
            <w:r>
              <w:rPr>
                <w:rFonts w:ascii="Caladea" w:hAnsi="Caladea"/>
                <w:sz w:val="20"/>
                <w:szCs w:val="20"/>
              </w:rPr>
              <w:t xml:space="preserve"> TTC</w:t>
            </w:r>
          </w:p>
        </w:tc>
        <w:tc>
          <w:tcPr>
            <w:tcW w:w="217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763EB9" w14:textId="77777777" w:rsidR="008C6244" w:rsidRDefault="008C6244">
            <w:pPr>
              <w:pStyle w:val="TableContents"/>
              <w:spacing w:line="360" w:lineRule="auto"/>
              <w:jc w:val="center"/>
              <w:rPr>
                <w:rFonts w:ascii="Caladea" w:hAnsi="Caladea" w:hint="eastAsia"/>
                <w:b/>
                <w:bCs/>
                <w:color w:val="579D1C"/>
                <w:sz w:val="20"/>
                <w:szCs w:val="20"/>
              </w:rPr>
            </w:pPr>
          </w:p>
          <w:p w14:paraId="2450FB74" w14:textId="77777777" w:rsidR="008C6244" w:rsidRDefault="008C6244">
            <w:pPr>
              <w:pStyle w:val="TableContents"/>
              <w:spacing w:line="360" w:lineRule="auto"/>
              <w:jc w:val="center"/>
              <w:rPr>
                <w:rFonts w:ascii="Caladea" w:hAnsi="Caladea" w:hint="eastAsia"/>
                <w:b/>
                <w:bCs/>
                <w:color w:val="579D1C"/>
                <w:sz w:val="20"/>
                <w:szCs w:val="20"/>
              </w:rPr>
            </w:pPr>
          </w:p>
          <w:p w14:paraId="51CB461D" w14:textId="77777777" w:rsidR="008C6244" w:rsidRDefault="008C6244">
            <w:pPr>
              <w:pStyle w:val="TableContents"/>
              <w:spacing w:line="360" w:lineRule="auto"/>
              <w:jc w:val="center"/>
              <w:rPr>
                <w:rFonts w:ascii="Caladea" w:hAnsi="Caladea" w:hint="eastAsia"/>
                <w:b/>
                <w:bCs/>
                <w:color w:val="579D1C"/>
                <w:sz w:val="20"/>
                <w:szCs w:val="20"/>
              </w:rPr>
            </w:pPr>
          </w:p>
          <w:p w14:paraId="7E4DB07B" w14:textId="77777777" w:rsidR="008C6244" w:rsidRDefault="00000000">
            <w:pPr>
              <w:pStyle w:val="TableContents"/>
              <w:spacing w:line="360" w:lineRule="auto"/>
              <w:jc w:val="center"/>
              <w:rPr>
                <w:rFonts w:ascii="Caladea" w:hAnsi="Caladea" w:hint="eastAsia"/>
                <w:b/>
                <w:bCs/>
                <w:color w:val="579D1C"/>
                <w:sz w:val="20"/>
                <w:szCs w:val="20"/>
              </w:rPr>
            </w:pPr>
            <w:r>
              <w:rPr>
                <w:rFonts w:ascii="Caladea" w:hAnsi="Caladea"/>
                <w:b/>
                <w:bCs/>
                <w:color w:val="579D1C"/>
                <w:sz w:val="20"/>
                <w:szCs w:val="20"/>
              </w:rPr>
              <w:t>GRATUITE</w:t>
            </w:r>
          </w:p>
          <w:p w14:paraId="057858BF" w14:textId="77777777" w:rsidR="008C6244" w:rsidRDefault="008C6244">
            <w:pPr>
              <w:pStyle w:val="TableContents"/>
              <w:jc w:val="center"/>
              <w:rPr>
                <w:rFonts w:ascii="Caladea" w:hAnsi="Caladea" w:hint="eastAsia"/>
                <w:b/>
                <w:bCs/>
                <w:color w:val="579D1C"/>
                <w:sz w:val="20"/>
                <w:szCs w:val="20"/>
              </w:rPr>
            </w:pPr>
          </w:p>
          <w:p w14:paraId="74F146D0" w14:textId="77777777" w:rsidR="008C6244" w:rsidRDefault="008C6244">
            <w:pPr>
              <w:pStyle w:val="TableContents"/>
              <w:jc w:val="center"/>
              <w:rPr>
                <w:rFonts w:ascii="Caladea" w:hAnsi="Caladea" w:hint="eastAsia"/>
                <w:b/>
                <w:bCs/>
                <w:color w:val="579D1C"/>
                <w:sz w:val="20"/>
                <w:szCs w:val="20"/>
              </w:rPr>
            </w:pPr>
          </w:p>
          <w:p w14:paraId="673698F0" w14:textId="77777777" w:rsidR="008C6244" w:rsidRDefault="008C6244">
            <w:pPr>
              <w:pStyle w:val="TableContents"/>
              <w:jc w:val="center"/>
              <w:rPr>
                <w:rFonts w:ascii="Caladea" w:hAnsi="Caladea" w:hint="eastAsia"/>
                <w:b/>
                <w:bCs/>
                <w:color w:val="579D1C"/>
                <w:sz w:val="20"/>
                <w:szCs w:val="20"/>
              </w:rPr>
            </w:pPr>
          </w:p>
        </w:tc>
      </w:tr>
    </w:tbl>
    <w:p w14:paraId="7F6E6EF7" w14:textId="77777777" w:rsidR="008C6244" w:rsidRDefault="008C6244">
      <w:pPr>
        <w:pStyle w:val="Standard"/>
        <w:spacing w:line="240" w:lineRule="auto"/>
        <w:jc w:val="center"/>
        <w:rPr>
          <w:rFonts w:ascii="Caladea" w:hAnsi="Caladea" w:hint="eastAsia"/>
          <w:b/>
          <w:bCs/>
          <w:color w:val="000000"/>
          <w:sz w:val="24"/>
          <w:szCs w:val="24"/>
          <w:u w:val="single"/>
        </w:rPr>
      </w:pPr>
    </w:p>
    <w:p w14:paraId="4AA3EA33" w14:textId="77777777" w:rsidR="008C6244" w:rsidRDefault="008C6244">
      <w:pPr>
        <w:pStyle w:val="Standard"/>
        <w:spacing w:line="240" w:lineRule="auto"/>
        <w:jc w:val="center"/>
        <w:rPr>
          <w:rFonts w:ascii="Caladea" w:hAnsi="Caladea" w:hint="eastAsia"/>
          <w:b/>
          <w:bCs/>
          <w:color w:val="000000"/>
          <w:sz w:val="24"/>
          <w:szCs w:val="24"/>
          <w:u w:val="single"/>
        </w:rPr>
      </w:pPr>
    </w:p>
    <w:p w14:paraId="0D5C72BC" w14:textId="77777777" w:rsidR="008C6244" w:rsidRDefault="008C6244">
      <w:pPr>
        <w:pStyle w:val="Standard"/>
        <w:spacing w:line="240" w:lineRule="auto"/>
        <w:jc w:val="center"/>
        <w:rPr>
          <w:rFonts w:ascii="Caladea" w:hAnsi="Caladea" w:hint="eastAsia"/>
          <w:b/>
          <w:bCs/>
          <w:color w:val="000000"/>
          <w:sz w:val="24"/>
          <w:szCs w:val="24"/>
          <w:u w:val="single"/>
        </w:rPr>
      </w:pPr>
    </w:p>
    <w:p w14:paraId="2EAA3F5C" w14:textId="77777777" w:rsidR="008C6244" w:rsidRDefault="00000000">
      <w:pPr>
        <w:pStyle w:val="Standard"/>
        <w:spacing w:line="240" w:lineRule="auto"/>
        <w:jc w:val="center"/>
        <w:rPr>
          <w:rFonts w:ascii="Caladea" w:hAnsi="Caladea" w:hint="eastAsia"/>
          <w:b/>
          <w:bCs/>
          <w:color w:val="000000"/>
          <w:sz w:val="24"/>
          <w:szCs w:val="24"/>
          <w:u w:val="single"/>
        </w:rPr>
      </w:pPr>
      <w:r>
        <w:rPr>
          <w:rFonts w:ascii="Caladea" w:hAnsi="Caladea"/>
          <w:b/>
          <w:bCs/>
          <w:noProof/>
          <w:color w:val="000000"/>
          <w:sz w:val="24"/>
          <w:szCs w:val="24"/>
          <w:u w:val="single"/>
        </w:rPr>
        <w:lastRenderedPageBreak/>
        <w:drawing>
          <wp:anchor distT="0" distB="0" distL="114300" distR="114300" simplePos="0" relativeHeight="251657216" behindDoc="0" locked="0" layoutInCell="1" allowOverlap="1" wp14:anchorId="04754E16" wp14:editId="23414C54">
            <wp:simplePos x="0" y="0"/>
            <wp:positionH relativeFrom="column">
              <wp:posOffset>749160</wp:posOffset>
            </wp:positionH>
            <wp:positionV relativeFrom="paragraph">
              <wp:posOffset>171360</wp:posOffset>
            </wp:positionV>
            <wp:extent cx="5460480" cy="1283400"/>
            <wp:effectExtent l="0" t="0" r="6870" b="0"/>
            <wp:wrapTopAndBottom/>
            <wp:docPr id="1509187192"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60480" cy="1283400"/>
                    </a:xfrm>
                    <a:prstGeom prst="rect">
                      <a:avLst/>
                    </a:prstGeom>
                  </pic:spPr>
                </pic:pic>
              </a:graphicData>
            </a:graphic>
          </wp:anchor>
        </w:drawing>
      </w:r>
      <w:r>
        <w:rPr>
          <w:rFonts w:ascii="Caladea" w:hAnsi="Caladea"/>
          <w:b/>
          <w:bCs/>
          <w:color w:val="000000"/>
          <w:sz w:val="24"/>
          <w:szCs w:val="24"/>
          <w:u w:val="single"/>
        </w:rPr>
        <w:t>LOCATION</w:t>
      </w:r>
    </w:p>
    <w:p w14:paraId="544D7494" w14:textId="77777777" w:rsidR="008C6244" w:rsidRDefault="00000000">
      <w:pPr>
        <w:pStyle w:val="Standard"/>
        <w:spacing w:line="240" w:lineRule="auto"/>
        <w:jc w:val="center"/>
        <w:rPr>
          <w:rFonts w:ascii="Caladea" w:hAnsi="Caladea" w:hint="eastAsia"/>
          <w:color w:val="111111"/>
          <w:sz w:val="20"/>
          <w:szCs w:val="20"/>
          <w:u w:val="single"/>
        </w:rPr>
      </w:pPr>
      <w:r>
        <w:rPr>
          <w:rFonts w:ascii="Caladea" w:hAnsi="Caladea"/>
          <w:color w:val="111111"/>
          <w:sz w:val="20"/>
          <w:szCs w:val="20"/>
          <w:u w:val="single"/>
        </w:rPr>
        <w:t>Rémunération appliquée sur le loyer mensuel charges comprises.</w:t>
      </w:r>
    </w:p>
    <w:p w14:paraId="3A7E2889" w14:textId="77777777" w:rsidR="008C6244" w:rsidRDefault="00000000">
      <w:pPr>
        <w:pStyle w:val="Standard"/>
        <w:spacing w:line="240" w:lineRule="auto"/>
        <w:jc w:val="center"/>
        <w:rPr>
          <w:rFonts w:ascii="Caladea" w:hAnsi="Caladea" w:hint="eastAsia"/>
          <w:b/>
          <w:bCs/>
          <w:color w:val="111111"/>
          <w:sz w:val="20"/>
          <w:szCs w:val="20"/>
          <w:u w:val="single"/>
        </w:rPr>
      </w:pPr>
      <w:r>
        <w:rPr>
          <w:rFonts w:ascii="Caladea" w:hAnsi="Caladea"/>
          <w:b/>
          <w:bCs/>
          <w:color w:val="111111"/>
          <w:sz w:val="20"/>
          <w:szCs w:val="20"/>
          <w:u w:val="single"/>
        </w:rPr>
        <w:t>Locations de biens vides ou meublés :</w:t>
      </w:r>
    </w:p>
    <w:tbl>
      <w:tblPr>
        <w:tblW w:w="10965" w:type="dxa"/>
        <w:tblLayout w:type="fixed"/>
        <w:tblCellMar>
          <w:left w:w="10" w:type="dxa"/>
          <w:right w:w="10" w:type="dxa"/>
        </w:tblCellMar>
        <w:tblLook w:val="0000" w:firstRow="0" w:lastRow="0" w:firstColumn="0" w:lastColumn="0" w:noHBand="0" w:noVBand="0"/>
      </w:tblPr>
      <w:tblGrid>
        <w:gridCol w:w="3426"/>
        <w:gridCol w:w="1941"/>
        <w:gridCol w:w="1942"/>
        <w:gridCol w:w="1827"/>
        <w:gridCol w:w="1829"/>
      </w:tblGrid>
      <w:tr w:rsidR="008C6244" w14:paraId="5DFEC71C" w14:textId="77777777">
        <w:tblPrEx>
          <w:tblCellMar>
            <w:top w:w="0" w:type="dxa"/>
            <w:bottom w:w="0" w:type="dxa"/>
          </w:tblCellMar>
        </w:tblPrEx>
        <w:tc>
          <w:tcPr>
            <w:tcW w:w="3426" w:type="dxa"/>
            <w:tcBorders>
              <w:top w:val="single" w:sz="2" w:space="0" w:color="000000"/>
              <w:left w:val="single" w:sz="2" w:space="0" w:color="000000"/>
              <w:bottom w:val="single" w:sz="2" w:space="0" w:color="000000"/>
            </w:tcBorders>
            <w:tcMar>
              <w:top w:w="55" w:type="dxa"/>
              <w:left w:w="55" w:type="dxa"/>
              <w:bottom w:w="55" w:type="dxa"/>
              <w:right w:w="55" w:type="dxa"/>
            </w:tcMar>
          </w:tcPr>
          <w:p w14:paraId="14E5D049" w14:textId="77777777" w:rsidR="008C6244" w:rsidRDefault="00000000">
            <w:pPr>
              <w:pStyle w:val="TableContents"/>
              <w:jc w:val="center"/>
              <w:rPr>
                <w:rFonts w:ascii="Caladea" w:hAnsi="Caladea" w:hint="eastAsia"/>
                <w:sz w:val="20"/>
                <w:szCs w:val="20"/>
              </w:rPr>
            </w:pPr>
            <w:r>
              <w:rPr>
                <w:rFonts w:ascii="Caladea" w:hAnsi="Caladea"/>
                <w:sz w:val="20"/>
                <w:szCs w:val="20"/>
              </w:rPr>
              <w:t>Prestations</w:t>
            </w:r>
          </w:p>
        </w:tc>
        <w:tc>
          <w:tcPr>
            <w:tcW w:w="388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4F74430E" w14:textId="77777777" w:rsidR="008C6244" w:rsidRDefault="00000000">
            <w:pPr>
              <w:pStyle w:val="TableContents"/>
              <w:jc w:val="center"/>
              <w:rPr>
                <w:rFonts w:ascii="Caladea" w:hAnsi="Caladea" w:hint="eastAsia"/>
                <w:sz w:val="20"/>
                <w:szCs w:val="20"/>
              </w:rPr>
            </w:pPr>
            <w:r>
              <w:rPr>
                <w:rFonts w:ascii="Caladea" w:hAnsi="Caladea"/>
                <w:sz w:val="20"/>
                <w:szCs w:val="20"/>
              </w:rPr>
              <w:t>Honoraires TTC/Locataire</w:t>
            </w:r>
          </w:p>
        </w:tc>
        <w:tc>
          <w:tcPr>
            <w:tcW w:w="3656"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A3D5551" w14:textId="77777777" w:rsidR="008C6244" w:rsidRDefault="00000000">
            <w:pPr>
              <w:pStyle w:val="TableContents"/>
              <w:jc w:val="center"/>
              <w:rPr>
                <w:rFonts w:ascii="Caladea" w:hAnsi="Caladea" w:hint="eastAsia"/>
                <w:sz w:val="20"/>
                <w:szCs w:val="20"/>
              </w:rPr>
            </w:pPr>
            <w:r>
              <w:rPr>
                <w:rFonts w:ascii="Caladea" w:hAnsi="Caladea"/>
                <w:sz w:val="20"/>
                <w:szCs w:val="20"/>
              </w:rPr>
              <w:t>Honoraires TTC/Bailleur</w:t>
            </w:r>
          </w:p>
        </w:tc>
      </w:tr>
      <w:tr w:rsidR="008C6244" w14:paraId="07960D2A" w14:textId="77777777">
        <w:tblPrEx>
          <w:tblCellMar>
            <w:top w:w="0" w:type="dxa"/>
            <w:bottom w:w="0" w:type="dxa"/>
          </w:tblCellMar>
        </w:tblPrEx>
        <w:tc>
          <w:tcPr>
            <w:tcW w:w="3426" w:type="dxa"/>
            <w:tcBorders>
              <w:left w:val="single" w:sz="2" w:space="0" w:color="000000"/>
              <w:bottom w:val="single" w:sz="2" w:space="0" w:color="000000"/>
            </w:tcBorders>
            <w:tcMar>
              <w:top w:w="55" w:type="dxa"/>
              <w:left w:w="55" w:type="dxa"/>
              <w:bottom w:w="55" w:type="dxa"/>
              <w:right w:w="55" w:type="dxa"/>
            </w:tcMar>
          </w:tcPr>
          <w:p w14:paraId="12297057" w14:textId="77777777" w:rsidR="008C6244" w:rsidRDefault="00000000">
            <w:pPr>
              <w:pStyle w:val="TableContents"/>
              <w:rPr>
                <w:rFonts w:ascii="Caladea" w:hAnsi="Caladea" w:hint="eastAsia"/>
                <w:color w:val="000000"/>
                <w:sz w:val="20"/>
                <w:szCs w:val="20"/>
              </w:rPr>
            </w:pPr>
            <w:r>
              <w:rPr>
                <w:rFonts w:ascii="Caladea" w:hAnsi="Caladea"/>
                <w:color w:val="000000"/>
                <w:sz w:val="20"/>
                <w:szCs w:val="20"/>
              </w:rPr>
              <w:t>Frais de visite/Constitution dossier/Rédaction de bail</w:t>
            </w:r>
          </w:p>
        </w:tc>
        <w:tc>
          <w:tcPr>
            <w:tcW w:w="3883" w:type="dxa"/>
            <w:gridSpan w:val="2"/>
            <w:tcBorders>
              <w:left w:val="single" w:sz="2" w:space="0" w:color="000000"/>
              <w:bottom w:val="single" w:sz="2" w:space="0" w:color="000000"/>
            </w:tcBorders>
            <w:tcMar>
              <w:top w:w="55" w:type="dxa"/>
              <w:left w:w="55" w:type="dxa"/>
              <w:bottom w:w="55" w:type="dxa"/>
              <w:right w:w="55" w:type="dxa"/>
            </w:tcMar>
          </w:tcPr>
          <w:p w14:paraId="5AC7740C" w14:textId="77777777" w:rsidR="008C6244" w:rsidRDefault="00000000">
            <w:pPr>
              <w:pStyle w:val="TableContents"/>
              <w:rPr>
                <w:rFonts w:ascii="Caladea" w:hAnsi="Caladea" w:hint="eastAsia"/>
                <w:color w:val="000000"/>
                <w:sz w:val="20"/>
                <w:szCs w:val="20"/>
              </w:rPr>
            </w:pPr>
            <w:r>
              <w:rPr>
                <w:rFonts w:ascii="Caladea" w:hAnsi="Caladea"/>
                <w:color w:val="000000"/>
                <w:sz w:val="20"/>
                <w:szCs w:val="20"/>
              </w:rPr>
              <w:t>Zone non tendue :</w:t>
            </w:r>
            <w:r>
              <w:rPr>
                <w:rFonts w:ascii="Caladea" w:hAnsi="Caladea"/>
                <w:b/>
                <w:bCs/>
                <w:color w:val="579D1C"/>
                <w:sz w:val="20"/>
                <w:szCs w:val="20"/>
              </w:rPr>
              <w:t xml:space="preserve"> 8€</w:t>
            </w:r>
            <w:r>
              <w:rPr>
                <w:rFonts w:ascii="Caladea" w:hAnsi="Caladea"/>
                <w:color w:val="000000"/>
                <w:sz w:val="20"/>
                <w:szCs w:val="20"/>
              </w:rPr>
              <w:t>/m2 surface habitable</w:t>
            </w:r>
          </w:p>
          <w:p w14:paraId="30BBE446" w14:textId="77777777" w:rsidR="008C6244" w:rsidRDefault="00000000">
            <w:pPr>
              <w:pStyle w:val="TableContents"/>
              <w:rPr>
                <w:rFonts w:ascii="Caladea" w:hAnsi="Caladea" w:hint="eastAsia"/>
                <w:color w:val="000000"/>
                <w:sz w:val="20"/>
                <w:szCs w:val="20"/>
              </w:rPr>
            </w:pPr>
            <w:r>
              <w:rPr>
                <w:rFonts w:ascii="Caladea" w:hAnsi="Caladea"/>
                <w:color w:val="000000"/>
                <w:sz w:val="20"/>
                <w:szCs w:val="20"/>
              </w:rPr>
              <w:t xml:space="preserve">Zone tendue *: </w:t>
            </w:r>
            <w:r>
              <w:rPr>
                <w:rFonts w:ascii="Caladea" w:hAnsi="Caladea"/>
                <w:b/>
                <w:bCs/>
                <w:color w:val="579D1C"/>
                <w:sz w:val="20"/>
                <w:szCs w:val="20"/>
              </w:rPr>
              <w:t>10€</w:t>
            </w:r>
            <w:r>
              <w:rPr>
                <w:rFonts w:ascii="Caladea" w:hAnsi="Caladea"/>
                <w:color w:val="000000"/>
                <w:sz w:val="20"/>
                <w:szCs w:val="20"/>
              </w:rPr>
              <w:t>/m2 surface habitable</w:t>
            </w:r>
          </w:p>
        </w:tc>
        <w:tc>
          <w:tcPr>
            <w:tcW w:w="365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3312B32" w14:textId="77777777" w:rsidR="008C6244" w:rsidRDefault="00000000">
            <w:pPr>
              <w:pStyle w:val="TableContents"/>
              <w:rPr>
                <w:rFonts w:ascii="Caladea" w:hAnsi="Caladea" w:hint="eastAsia"/>
                <w:color w:val="000000"/>
                <w:sz w:val="20"/>
                <w:szCs w:val="20"/>
              </w:rPr>
            </w:pPr>
            <w:r>
              <w:rPr>
                <w:rFonts w:ascii="Caladea" w:hAnsi="Caladea"/>
                <w:color w:val="000000"/>
                <w:sz w:val="20"/>
                <w:szCs w:val="20"/>
              </w:rPr>
              <w:t>Zone non tendue :</w:t>
            </w:r>
            <w:r>
              <w:rPr>
                <w:rFonts w:ascii="Caladea" w:hAnsi="Caladea"/>
                <w:b/>
                <w:bCs/>
                <w:color w:val="579D1C"/>
                <w:sz w:val="20"/>
                <w:szCs w:val="20"/>
              </w:rPr>
              <w:t xml:space="preserve"> 8€</w:t>
            </w:r>
            <w:r>
              <w:rPr>
                <w:rFonts w:ascii="Caladea" w:hAnsi="Caladea"/>
                <w:color w:val="000000"/>
                <w:sz w:val="20"/>
                <w:szCs w:val="20"/>
              </w:rPr>
              <w:t>/m2 surface habitable</w:t>
            </w:r>
          </w:p>
          <w:p w14:paraId="0052E7DF" w14:textId="77777777" w:rsidR="008C6244" w:rsidRDefault="00000000">
            <w:pPr>
              <w:pStyle w:val="TableContents"/>
              <w:rPr>
                <w:rFonts w:ascii="Caladea" w:hAnsi="Caladea" w:hint="eastAsia"/>
                <w:color w:val="000000"/>
                <w:sz w:val="20"/>
                <w:szCs w:val="20"/>
              </w:rPr>
            </w:pPr>
            <w:r>
              <w:rPr>
                <w:rFonts w:ascii="Caladea" w:hAnsi="Caladea"/>
                <w:color w:val="000000"/>
                <w:sz w:val="20"/>
                <w:szCs w:val="20"/>
              </w:rPr>
              <w:t>Zone tendue* :</w:t>
            </w:r>
            <w:r>
              <w:rPr>
                <w:rFonts w:ascii="Caladea" w:hAnsi="Caladea"/>
                <w:b/>
                <w:bCs/>
                <w:color w:val="579D1C"/>
                <w:sz w:val="20"/>
                <w:szCs w:val="20"/>
              </w:rPr>
              <w:t xml:space="preserve"> 10€</w:t>
            </w:r>
            <w:r>
              <w:rPr>
                <w:rFonts w:ascii="Caladea" w:hAnsi="Caladea"/>
                <w:color w:val="000000"/>
                <w:sz w:val="20"/>
                <w:szCs w:val="20"/>
              </w:rPr>
              <w:t>/m2 surface habitable</w:t>
            </w:r>
          </w:p>
        </w:tc>
      </w:tr>
      <w:tr w:rsidR="008C6244" w14:paraId="545EC249" w14:textId="77777777">
        <w:tblPrEx>
          <w:tblCellMar>
            <w:top w:w="0" w:type="dxa"/>
            <w:bottom w:w="0" w:type="dxa"/>
          </w:tblCellMar>
        </w:tblPrEx>
        <w:tc>
          <w:tcPr>
            <w:tcW w:w="3426" w:type="dxa"/>
            <w:tcBorders>
              <w:left w:val="single" w:sz="2" w:space="0" w:color="000000"/>
              <w:bottom w:val="single" w:sz="2" w:space="0" w:color="000000"/>
            </w:tcBorders>
            <w:tcMar>
              <w:top w:w="55" w:type="dxa"/>
              <w:left w:w="55" w:type="dxa"/>
              <w:bottom w:w="55" w:type="dxa"/>
              <w:right w:w="55" w:type="dxa"/>
            </w:tcMar>
          </w:tcPr>
          <w:p w14:paraId="2283ABC0" w14:textId="77777777" w:rsidR="008C6244" w:rsidRDefault="00000000">
            <w:pPr>
              <w:pStyle w:val="TableContents"/>
              <w:rPr>
                <w:rFonts w:ascii="Caladea" w:hAnsi="Caladea" w:hint="eastAsia"/>
                <w:color w:val="000000"/>
                <w:sz w:val="20"/>
                <w:szCs w:val="20"/>
              </w:rPr>
            </w:pPr>
            <w:r>
              <w:rPr>
                <w:rFonts w:ascii="Caladea" w:hAnsi="Caladea"/>
                <w:color w:val="000000"/>
                <w:sz w:val="20"/>
                <w:szCs w:val="20"/>
              </w:rPr>
              <w:t>Frais d'état des lieux</w:t>
            </w:r>
          </w:p>
        </w:tc>
        <w:tc>
          <w:tcPr>
            <w:tcW w:w="3883" w:type="dxa"/>
            <w:gridSpan w:val="2"/>
            <w:tcBorders>
              <w:left w:val="single" w:sz="2" w:space="0" w:color="000000"/>
              <w:bottom w:val="single" w:sz="2" w:space="0" w:color="000000"/>
            </w:tcBorders>
            <w:tcMar>
              <w:top w:w="55" w:type="dxa"/>
              <w:left w:w="55" w:type="dxa"/>
              <w:bottom w:w="55" w:type="dxa"/>
              <w:right w:w="55" w:type="dxa"/>
            </w:tcMar>
          </w:tcPr>
          <w:p w14:paraId="30609C0A" w14:textId="77777777" w:rsidR="008C6244" w:rsidRDefault="00000000">
            <w:pPr>
              <w:pStyle w:val="TableContents"/>
              <w:rPr>
                <w:rFonts w:ascii="Caladea" w:hAnsi="Caladea" w:hint="eastAsia"/>
                <w:color w:val="000000"/>
                <w:sz w:val="20"/>
                <w:szCs w:val="20"/>
              </w:rPr>
            </w:pPr>
            <w:r>
              <w:rPr>
                <w:rFonts w:ascii="Caladea" w:hAnsi="Caladea"/>
                <w:b/>
                <w:bCs/>
                <w:color w:val="579D1C"/>
                <w:sz w:val="20"/>
                <w:szCs w:val="20"/>
              </w:rPr>
              <w:t>3€/</w:t>
            </w:r>
            <w:r>
              <w:rPr>
                <w:rFonts w:ascii="Caladea" w:hAnsi="Caladea"/>
                <w:color w:val="000000"/>
                <w:sz w:val="20"/>
                <w:szCs w:val="20"/>
              </w:rPr>
              <w:t>m2 TTC pour toutes les zones</w:t>
            </w:r>
          </w:p>
        </w:tc>
        <w:tc>
          <w:tcPr>
            <w:tcW w:w="365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54EF82D" w14:textId="77777777" w:rsidR="008C6244" w:rsidRDefault="00000000">
            <w:pPr>
              <w:pStyle w:val="TableContents"/>
              <w:rPr>
                <w:rFonts w:ascii="Caladea" w:hAnsi="Caladea" w:hint="eastAsia"/>
                <w:color w:val="000000"/>
                <w:sz w:val="20"/>
                <w:szCs w:val="20"/>
              </w:rPr>
            </w:pPr>
            <w:r>
              <w:rPr>
                <w:rFonts w:ascii="Caladea" w:hAnsi="Caladea"/>
                <w:b/>
                <w:bCs/>
                <w:color w:val="579D1C"/>
                <w:sz w:val="20"/>
                <w:szCs w:val="20"/>
              </w:rPr>
              <w:t>3€</w:t>
            </w:r>
            <w:r>
              <w:rPr>
                <w:rFonts w:ascii="Caladea" w:hAnsi="Caladea"/>
                <w:color w:val="000000"/>
                <w:sz w:val="20"/>
                <w:szCs w:val="20"/>
              </w:rPr>
              <w:t>/m2 TTC pour toutes les zones</w:t>
            </w:r>
          </w:p>
          <w:p w14:paraId="41938B96" w14:textId="77777777" w:rsidR="008C6244" w:rsidRDefault="00000000">
            <w:pPr>
              <w:pStyle w:val="TableContents"/>
              <w:rPr>
                <w:rFonts w:ascii="Caladea" w:hAnsi="Caladea" w:hint="eastAsia"/>
                <w:color w:val="000000"/>
                <w:sz w:val="20"/>
                <w:szCs w:val="20"/>
              </w:rPr>
            </w:pPr>
            <w:r>
              <w:rPr>
                <w:rFonts w:ascii="Caladea" w:hAnsi="Caladea"/>
                <w:color w:val="000000"/>
                <w:sz w:val="20"/>
                <w:szCs w:val="20"/>
              </w:rPr>
              <w:t xml:space="preserve">Honoraires de négociation à la charge exclusive du bailleur seront la </w:t>
            </w:r>
            <w:proofErr w:type="gramStart"/>
            <w:r>
              <w:rPr>
                <w:rFonts w:ascii="Caladea" w:hAnsi="Caladea"/>
                <w:color w:val="000000"/>
                <w:sz w:val="20"/>
                <w:szCs w:val="20"/>
              </w:rPr>
              <w:t>différence  entre</w:t>
            </w:r>
            <w:proofErr w:type="gramEnd"/>
            <w:r>
              <w:rPr>
                <w:rFonts w:ascii="Caladea" w:hAnsi="Caladea"/>
                <w:color w:val="000000"/>
                <w:sz w:val="20"/>
                <w:szCs w:val="20"/>
              </w:rPr>
              <w:t xml:space="preserve"> 11 € TTC / m² ou 13 € TTC / m² selon la zone et un mois de loyer charges incluses</w:t>
            </w:r>
          </w:p>
        </w:tc>
      </w:tr>
      <w:tr w:rsidR="008C6244" w14:paraId="10507DB3" w14:textId="77777777">
        <w:tblPrEx>
          <w:tblCellMar>
            <w:top w:w="0" w:type="dxa"/>
            <w:bottom w:w="0" w:type="dxa"/>
          </w:tblCellMar>
        </w:tblPrEx>
        <w:tc>
          <w:tcPr>
            <w:tcW w:w="3426" w:type="dxa"/>
            <w:tcBorders>
              <w:left w:val="single" w:sz="2" w:space="0" w:color="000000"/>
              <w:bottom w:val="single" w:sz="2" w:space="0" w:color="000000"/>
            </w:tcBorders>
            <w:tcMar>
              <w:top w:w="55" w:type="dxa"/>
              <w:left w:w="55" w:type="dxa"/>
              <w:bottom w:w="55" w:type="dxa"/>
              <w:right w:w="55" w:type="dxa"/>
            </w:tcMar>
          </w:tcPr>
          <w:p w14:paraId="525042EF" w14:textId="77777777" w:rsidR="008C6244" w:rsidRDefault="00000000">
            <w:pPr>
              <w:pStyle w:val="TableContents"/>
              <w:rPr>
                <w:rFonts w:ascii="Caladea" w:hAnsi="Caladea" w:hint="eastAsia"/>
                <w:color w:val="000000"/>
                <w:sz w:val="20"/>
                <w:szCs w:val="20"/>
              </w:rPr>
            </w:pPr>
            <w:r>
              <w:rPr>
                <w:rFonts w:ascii="Caladea" w:hAnsi="Caladea"/>
                <w:color w:val="000000"/>
                <w:sz w:val="20"/>
                <w:szCs w:val="20"/>
              </w:rPr>
              <w:t>Frais d'avenant pour modification du bail à la demande du locataire.</w:t>
            </w:r>
          </w:p>
        </w:tc>
        <w:tc>
          <w:tcPr>
            <w:tcW w:w="3883" w:type="dxa"/>
            <w:gridSpan w:val="2"/>
            <w:tcBorders>
              <w:left w:val="single" w:sz="2" w:space="0" w:color="000000"/>
              <w:bottom w:val="single" w:sz="2" w:space="0" w:color="000000"/>
            </w:tcBorders>
            <w:tcMar>
              <w:top w:w="55" w:type="dxa"/>
              <w:left w:w="55" w:type="dxa"/>
              <w:bottom w:w="55" w:type="dxa"/>
              <w:right w:w="55" w:type="dxa"/>
            </w:tcMar>
          </w:tcPr>
          <w:p w14:paraId="6C24B18C" w14:textId="77777777" w:rsidR="008C6244" w:rsidRDefault="00000000">
            <w:pPr>
              <w:pStyle w:val="TableContents"/>
              <w:rPr>
                <w:rFonts w:ascii="Caladea" w:hAnsi="Caladea" w:hint="eastAsia"/>
                <w:color w:val="000000"/>
                <w:sz w:val="20"/>
                <w:szCs w:val="20"/>
              </w:rPr>
            </w:pPr>
            <w:r>
              <w:rPr>
                <w:rFonts w:ascii="Caladea" w:hAnsi="Caladea"/>
                <w:b/>
                <w:bCs/>
                <w:color w:val="579D1C"/>
                <w:sz w:val="20"/>
                <w:szCs w:val="20"/>
              </w:rPr>
              <w:t>150€</w:t>
            </w:r>
            <w:r>
              <w:rPr>
                <w:rFonts w:ascii="Caladea" w:hAnsi="Caladea"/>
                <w:color w:val="000000"/>
                <w:sz w:val="20"/>
                <w:szCs w:val="20"/>
              </w:rPr>
              <w:t xml:space="preserve"> TTC</w:t>
            </w:r>
          </w:p>
        </w:tc>
        <w:tc>
          <w:tcPr>
            <w:tcW w:w="365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6BC492F" w14:textId="77777777" w:rsidR="008C6244" w:rsidRDefault="008C6244">
            <w:pPr>
              <w:pStyle w:val="TableContents"/>
              <w:rPr>
                <w:rFonts w:ascii="Caladea" w:hAnsi="Caladea" w:hint="eastAsia"/>
                <w:color w:val="000000"/>
                <w:sz w:val="20"/>
                <w:szCs w:val="20"/>
              </w:rPr>
            </w:pPr>
          </w:p>
        </w:tc>
      </w:tr>
      <w:tr w:rsidR="008C6244" w14:paraId="431B505C" w14:textId="77777777">
        <w:tblPrEx>
          <w:tblCellMar>
            <w:top w:w="0" w:type="dxa"/>
            <w:bottom w:w="0" w:type="dxa"/>
          </w:tblCellMar>
        </w:tblPrEx>
        <w:tc>
          <w:tcPr>
            <w:tcW w:w="3426" w:type="dxa"/>
            <w:tcBorders>
              <w:left w:val="single" w:sz="2" w:space="0" w:color="000000"/>
              <w:bottom w:val="single" w:sz="2" w:space="0" w:color="000000"/>
            </w:tcBorders>
            <w:tcMar>
              <w:top w:w="55" w:type="dxa"/>
              <w:left w:w="55" w:type="dxa"/>
              <w:bottom w:w="55" w:type="dxa"/>
              <w:right w:w="55" w:type="dxa"/>
            </w:tcMar>
          </w:tcPr>
          <w:p w14:paraId="7AF2E589" w14:textId="77777777" w:rsidR="008C6244" w:rsidRDefault="00000000">
            <w:pPr>
              <w:pStyle w:val="TableContents"/>
              <w:rPr>
                <w:rFonts w:ascii="Caladea" w:hAnsi="Caladea" w:hint="eastAsia"/>
                <w:color w:val="000000"/>
                <w:sz w:val="20"/>
                <w:szCs w:val="20"/>
              </w:rPr>
            </w:pPr>
            <w:r>
              <w:rPr>
                <w:rFonts w:ascii="Caladea" w:hAnsi="Caladea"/>
                <w:color w:val="000000"/>
                <w:sz w:val="20"/>
                <w:szCs w:val="20"/>
              </w:rPr>
              <w:t>Frais pour location de parking ou cave ou garage</w:t>
            </w:r>
          </w:p>
        </w:tc>
        <w:tc>
          <w:tcPr>
            <w:tcW w:w="1941" w:type="dxa"/>
            <w:tcBorders>
              <w:left w:val="single" w:sz="2" w:space="0" w:color="000000"/>
              <w:bottom w:val="single" w:sz="2" w:space="0" w:color="000000"/>
            </w:tcBorders>
            <w:tcMar>
              <w:top w:w="55" w:type="dxa"/>
              <w:left w:w="55" w:type="dxa"/>
              <w:bottom w:w="55" w:type="dxa"/>
              <w:right w:w="55" w:type="dxa"/>
            </w:tcMar>
          </w:tcPr>
          <w:p w14:paraId="535CAABC" w14:textId="77777777" w:rsidR="008C6244" w:rsidRDefault="00000000">
            <w:pPr>
              <w:pStyle w:val="TableContents"/>
              <w:rPr>
                <w:rFonts w:ascii="Caladea" w:hAnsi="Caladea" w:hint="eastAsia"/>
                <w:color w:val="000000"/>
                <w:sz w:val="20"/>
                <w:szCs w:val="20"/>
              </w:rPr>
            </w:pPr>
            <w:r>
              <w:rPr>
                <w:rFonts w:ascii="Caladea" w:hAnsi="Caladea"/>
                <w:b/>
                <w:bCs/>
                <w:color w:val="579D1C"/>
                <w:sz w:val="20"/>
                <w:szCs w:val="20"/>
              </w:rPr>
              <w:t>150€</w:t>
            </w:r>
            <w:r>
              <w:rPr>
                <w:rFonts w:ascii="Caladea" w:hAnsi="Caladea"/>
                <w:color w:val="000000"/>
                <w:sz w:val="20"/>
                <w:szCs w:val="20"/>
              </w:rPr>
              <w:t xml:space="preserve"> TTC</w:t>
            </w:r>
          </w:p>
          <w:p w14:paraId="250ED2C7" w14:textId="77777777" w:rsidR="008C6244" w:rsidRDefault="00000000">
            <w:pPr>
              <w:pStyle w:val="TableContents"/>
              <w:rPr>
                <w:rFonts w:ascii="Caladea" w:hAnsi="Caladea" w:hint="eastAsia"/>
                <w:color w:val="000000"/>
                <w:sz w:val="20"/>
                <w:szCs w:val="20"/>
              </w:rPr>
            </w:pPr>
            <w:r>
              <w:rPr>
                <w:rFonts w:ascii="Caladea" w:hAnsi="Caladea"/>
                <w:b/>
                <w:bCs/>
                <w:color w:val="579D1C"/>
                <w:sz w:val="20"/>
                <w:szCs w:val="20"/>
              </w:rPr>
              <w:t xml:space="preserve">50% </w:t>
            </w:r>
            <w:r>
              <w:rPr>
                <w:rFonts w:ascii="Caladea" w:hAnsi="Caladea"/>
                <w:color w:val="000000"/>
                <w:sz w:val="20"/>
                <w:szCs w:val="20"/>
              </w:rPr>
              <w:t>charge locataire</w:t>
            </w:r>
          </w:p>
        </w:tc>
        <w:tc>
          <w:tcPr>
            <w:tcW w:w="1942" w:type="dxa"/>
            <w:tcBorders>
              <w:left w:val="single" w:sz="2" w:space="0" w:color="000000"/>
              <w:bottom w:val="single" w:sz="2" w:space="0" w:color="000000"/>
            </w:tcBorders>
            <w:tcMar>
              <w:top w:w="55" w:type="dxa"/>
              <w:left w:w="55" w:type="dxa"/>
              <w:bottom w:w="55" w:type="dxa"/>
              <w:right w:w="55" w:type="dxa"/>
            </w:tcMar>
          </w:tcPr>
          <w:p w14:paraId="44B8E606" w14:textId="77777777" w:rsidR="008C6244" w:rsidRDefault="008C6244">
            <w:pPr>
              <w:pStyle w:val="TableContents"/>
              <w:rPr>
                <w:rFonts w:ascii="Caladea" w:hAnsi="Caladea" w:hint="eastAsia"/>
                <w:color w:val="FF33FF"/>
                <w:sz w:val="20"/>
                <w:szCs w:val="20"/>
              </w:rPr>
            </w:pPr>
          </w:p>
          <w:p w14:paraId="045D43D5" w14:textId="77777777" w:rsidR="008C6244" w:rsidRDefault="00000000">
            <w:pPr>
              <w:pStyle w:val="TableContents"/>
              <w:rPr>
                <w:rFonts w:ascii="Caladea" w:hAnsi="Caladea" w:hint="eastAsia"/>
                <w:color w:val="000000"/>
                <w:sz w:val="20"/>
                <w:szCs w:val="20"/>
              </w:rPr>
            </w:pPr>
            <w:r>
              <w:rPr>
                <w:rFonts w:ascii="Caladea" w:hAnsi="Caladea"/>
                <w:b/>
                <w:bCs/>
                <w:color w:val="579D1C"/>
                <w:sz w:val="20"/>
                <w:szCs w:val="20"/>
              </w:rPr>
              <w:t xml:space="preserve">50% </w:t>
            </w:r>
            <w:r>
              <w:rPr>
                <w:rFonts w:ascii="Caladea" w:hAnsi="Caladea"/>
                <w:color w:val="000000"/>
                <w:sz w:val="20"/>
                <w:szCs w:val="20"/>
              </w:rPr>
              <w:t>charge propriétaire</w:t>
            </w:r>
          </w:p>
        </w:tc>
        <w:tc>
          <w:tcPr>
            <w:tcW w:w="1827" w:type="dxa"/>
            <w:tcBorders>
              <w:left w:val="single" w:sz="2" w:space="0" w:color="000000"/>
              <w:bottom w:val="single" w:sz="2" w:space="0" w:color="000000"/>
            </w:tcBorders>
            <w:tcMar>
              <w:top w:w="55" w:type="dxa"/>
              <w:left w:w="55" w:type="dxa"/>
              <w:bottom w:w="55" w:type="dxa"/>
              <w:right w:w="55" w:type="dxa"/>
            </w:tcMar>
          </w:tcPr>
          <w:p w14:paraId="08FFF915" w14:textId="77777777" w:rsidR="008C6244" w:rsidRDefault="00000000">
            <w:pPr>
              <w:pStyle w:val="TableContents"/>
              <w:rPr>
                <w:rFonts w:ascii="Caladea" w:hAnsi="Caladea" w:hint="eastAsia"/>
                <w:color w:val="000000"/>
                <w:sz w:val="20"/>
                <w:szCs w:val="20"/>
              </w:rPr>
            </w:pPr>
            <w:r>
              <w:rPr>
                <w:rFonts w:ascii="Caladea" w:hAnsi="Caladea"/>
                <w:b/>
                <w:bCs/>
                <w:color w:val="579D1C"/>
                <w:sz w:val="20"/>
                <w:szCs w:val="20"/>
              </w:rPr>
              <w:t xml:space="preserve">150€ </w:t>
            </w:r>
            <w:r>
              <w:rPr>
                <w:rFonts w:ascii="Caladea" w:hAnsi="Caladea"/>
                <w:color w:val="000000"/>
                <w:sz w:val="20"/>
                <w:szCs w:val="20"/>
              </w:rPr>
              <w:t>TTC</w:t>
            </w:r>
          </w:p>
          <w:p w14:paraId="5F033EAB" w14:textId="77777777" w:rsidR="008C6244" w:rsidRDefault="00000000">
            <w:pPr>
              <w:pStyle w:val="TableContents"/>
              <w:rPr>
                <w:rFonts w:ascii="Caladea" w:hAnsi="Caladea" w:hint="eastAsia"/>
                <w:color w:val="000000"/>
                <w:sz w:val="20"/>
                <w:szCs w:val="20"/>
              </w:rPr>
            </w:pPr>
            <w:r>
              <w:rPr>
                <w:rFonts w:ascii="Caladea" w:hAnsi="Caladea"/>
                <w:b/>
                <w:bCs/>
                <w:color w:val="579D1C"/>
                <w:sz w:val="20"/>
                <w:szCs w:val="20"/>
              </w:rPr>
              <w:t xml:space="preserve">50% </w:t>
            </w:r>
            <w:r>
              <w:rPr>
                <w:rFonts w:ascii="Caladea" w:hAnsi="Caladea"/>
                <w:color w:val="000000"/>
                <w:sz w:val="20"/>
                <w:szCs w:val="20"/>
              </w:rPr>
              <w:t>charge locataire</w:t>
            </w:r>
          </w:p>
        </w:tc>
        <w:tc>
          <w:tcPr>
            <w:tcW w:w="182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880E20" w14:textId="77777777" w:rsidR="008C6244" w:rsidRDefault="008C6244">
            <w:pPr>
              <w:pStyle w:val="TableContents"/>
              <w:rPr>
                <w:rFonts w:ascii="Caladea" w:hAnsi="Caladea" w:hint="eastAsia"/>
                <w:color w:val="FF33FF"/>
                <w:sz w:val="20"/>
                <w:szCs w:val="20"/>
              </w:rPr>
            </w:pPr>
          </w:p>
          <w:p w14:paraId="70929998" w14:textId="77777777" w:rsidR="008C6244" w:rsidRDefault="00000000">
            <w:pPr>
              <w:pStyle w:val="TableContents"/>
              <w:rPr>
                <w:rFonts w:ascii="Caladea" w:hAnsi="Caladea" w:hint="eastAsia"/>
                <w:color w:val="000000"/>
                <w:sz w:val="20"/>
                <w:szCs w:val="20"/>
              </w:rPr>
            </w:pPr>
            <w:r>
              <w:rPr>
                <w:rFonts w:ascii="Caladea" w:hAnsi="Caladea"/>
                <w:b/>
                <w:bCs/>
                <w:color w:val="579D1C"/>
                <w:sz w:val="20"/>
                <w:szCs w:val="20"/>
              </w:rPr>
              <w:t>50%</w:t>
            </w:r>
            <w:r>
              <w:rPr>
                <w:rFonts w:ascii="Caladea" w:hAnsi="Caladea"/>
                <w:color w:val="000000"/>
                <w:sz w:val="20"/>
                <w:szCs w:val="20"/>
              </w:rPr>
              <w:t xml:space="preserve"> charge propriétaire</w:t>
            </w:r>
          </w:p>
        </w:tc>
      </w:tr>
    </w:tbl>
    <w:p w14:paraId="09E6A1E2" w14:textId="77777777" w:rsidR="008C6244" w:rsidRDefault="00000000">
      <w:pPr>
        <w:pStyle w:val="TableContents"/>
        <w:rPr>
          <w:rFonts w:ascii="Caladea" w:hAnsi="Caladea" w:hint="eastAsia"/>
          <w:sz w:val="20"/>
          <w:szCs w:val="20"/>
        </w:rPr>
      </w:pPr>
      <w:r>
        <w:rPr>
          <w:rFonts w:ascii="Caladea" w:hAnsi="Caladea"/>
          <w:color w:val="000000"/>
          <w:sz w:val="20"/>
          <w:szCs w:val="20"/>
        </w:rPr>
        <w:t xml:space="preserve">* </w:t>
      </w:r>
      <w:r>
        <w:rPr>
          <w:rFonts w:ascii="Caladea" w:hAnsi="Caladea"/>
          <w:b/>
          <w:sz w:val="20"/>
          <w:szCs w:val="20"/>
        </w:rPr>
        <w:t xml:space="preserve">Les zones tendues à la Réunion : </w:t>
      </w:r>
      <w:r>
        <w:rPr>
          <w:rFonts w:ascii="Caladea" w:hAnsi="Caladea"/>
          <w:sz w:val="20"/>
          <w:szCs w:val="20"/>
        </w:rPr>
        <w:t>SAINTE-MARIE. SAINT-DENIS. LA POSSESSION. LE PORT. SAINT-PAUL. SAINT-LOUIS. SAINT-PIERRE. ENTRE-DEUX, LE TAMPON.</w:t>
      </w:r>
    </w:p>
    <w:p w14:paraId="6FDD0103" w14:textId="77777777" w:rsidR="008C6244" w:rsidRDefault="00000000">
      <w:pPr>
        <w:pStyle w:val="Standard"/>
        <w:jc w:val="center"/>
        <w:rPr>
          <w:rFonts w:ascii="Caladea" w:hAnsi="Caladea" w:hint="eastAsia"/>
          <w:b/>
          <w:bCs/>
          <w:color w:val="111111"/>
          <w:sz w:val="20"/>
          <w:szCs w:val="20"/>
          <w:u w:val="single"/>
        </w:rPr>
      </w:pPr>
      <w:r>
        <w:rPr>
          <w:rFonts w:ascii="Caladea" w:hAnsi="Caladea"/>
          <w:b/>
          <w:bCs/>
          <w:color w:val="111111"/>
          <w:sz w:val="20"/>
          <w:szCs w:val="20"/>
          <w:u w:val="single"/>
        </w:rPr>
        <w:t>Locaux mixtes, commerciaux, professionnels :</w:t>
      </w:r>
    </w:p>
    <w:tbl>
      <w:tblPr>
        <w:tblW w:w="10965" w:type="dxa"/>
        <w:tblLayout w:type="fixed"/>
        <w:tblCellMar>
          <w:left w:w="10" w:type="dxa"/>
          <w:right w:w="10" w:type="dxa"/>
        </w:tblCellMar>
        <w:tblLook w:val="0000" w:firstRow="0" w:lastRow="0" w:firstColumn="0" w:lastColumn="0" w:noHBand="0" w:noVBand="0"/>
      </w:tblPr>
      <w:tblGrid>
        <w:gridCol w:w="10965"/>
      </w:tblGrid>
      <w:tr w:rsidR="008C6244" w14:paraId="2ACB64F2" w14:textId="77777777">
        <w:tblPrEx>
          <w:tblCellMar>
            <w:top w:w="0" w:type="dxa"/>
            <w:bottom w:w="0" w:type="dxa"/>
          </w:tblCellMar>
        </w:tblPrEx>
        <w:tc>
          <w:tcPr>
            <w:tcW w:w="109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C7CCCD9"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 xml:space="preserve">2 mois de loyers HT </w:t>
            </w:r>
            <w:r>
              <w:rPr>
                <w:rFonts w:ascii="Caladea" w:hAnsi="Caladea"/>
                <w:sz w:val="20"/>
                <w:szCs w:val="20"/>
              </w:rPr>
              <w:t>à la charge du preneur.</w:t>
            </w:r>
          </w:p>
        </w:tc>
      </w:tr>
    </w:tbl>
    <w:p w14:paraId="57EC4FA9" w14:textId="77777777" w:rsidR="008C6244" w:rsidRDefault="00000000">
      <w:pPr>
        <w:pStyle w:val="Standard"/>
        <w:shd w:val="clear" w:color="auto" w:fill="FFFFFF"/>
        <w:jc w:val="center"/>
        <w:rPr>
          <w:rFonts w:ascii="Caladea" w:hAnsi="Caladea" w:hint="eastAsia"/>
          <w:b/>
          <w:bCs/>
          <w:color w:val="000000"/>
          <w:sz w:val="24"/>
          <w:szCs w:val="24"/>
          <w:u w:val="single"/>
        </w:rPr>
      </w:pPr>
      <w:r>
        <w:rPr>
          <w:rFonts w:ascii="Caladea" w:hAnsi="Caladea"/>
          <w:b/>
          <w:bCs/>
          <w:color w:val="000000"/>
          <w:sz w:val="24"/>
          <w:szCs w:val="24"/>
          <w:u w:val="single"/>
        </w:rPr>
        <w:t>GESTION</w:t>
      </w:r>
    </w:p>
    <w:tbl>
      <w:tblPr>
        <w:tblW w:w="10980" w:type="dxa"/>
        <w:tblInd w:w="-15" w:type="dxa"/>
        <w:tblLayout w:type="fixed"/>
        <w:tblCellMar>
          <w:left w:w="10" w:type="dxa"/>
          <w:right w:w="10" w:type="dxa"/>
        </w:tblCellMar>
        <w:tblLook w:val="0000" w:firstRow="0" w:lastRow="0" w:firstColumn="0" w:lastColumn="0" w:noHBand="0" w:noVBand="0"/>
      </w:tblPr>
      <w:tblGrid>
        <w:gridCol w:w="5490"/>
        <w:gridCol w:w="5490"/>
      </w:tblGrid>
      <w:tr w:rsidR="008C6244" w14:paraId="381AB01D" w14:textId="77777777">
        <w:tblPrEx>
          <w:tblCellMar>
            <w:top w:w="0" w:type="dxa"/>
            <w:bottom w:w="0" w:type="dxa"/>
          </w:tblCellMar>
        </w:tblPrEx>
        <w:tc>
          <w:tcPr>
            <w:tcW w:w="5490" w:type="dxa"/>
            <w:tcBorders>
              <w:top w:val="single" w:sz="2" w:space="0" w:color="000000"/>
              <w:left w:val="single" w:sz="2" w:space="0" w:color="000000"/>
              <w:bottom w:val="single" w:sz="2" w:space="0" w:color="000000"/>
            </w:tcBorders>
            <w:tcMar>
              <w:top w:w="55" w:type="dxa"/>
              <w:left w:w="55" w:type="dxa"/>
              <w:bottom w:w="55" w:type="dxa"/>
              <w:right w:w="55" w:type="dxa"/>
            </w:tcMar>
          </w:tcPr>
          <w:p w14:paraId="1FB8E5A1" w14:textId="77777777" w:rsidR="008C6244" w:rsidRDefault="00000000">
            <w:pPr>
              <w:pStyle w:val="TableContents"/>
              <w:jc w:val="center"/>
              <w:rPr>
                <w:rFonts w:ascii="Caladea" w:hAnsi="Caladea" w:hint="eastAsia"/>
                <w:color w:val="111111"/>
                <w:sz w:val="20"/>
                <w:szCs w:val="20"/>
              </w:rPr>
            </w:pPr>
            <w:r>
              <w:rPr>
                <w:rFonts w:ascii="Caladea" w:hAnsi="Caladea"/>
                <w:color w:val="111111"/>
                <w:sz w:val="20"/>
                <w:szCs w:val="20"/>
              </w:rPr>
              <w:t>Prestations</w:t>
            </w:r>
          </w:p>
        </w:tc>
        <w:tc>
          <w:tcPr>
            <w:tcW w:w="54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34E2629" w14:textId="77777777" w:rsidR="008C6244" w:rsidRDefault="00000000">
            <w:pPr>
              <w:pStyle w:val="TableContents"/>
              <w:jc w:val="center"/>
              <w:rPr>
                <w:rFonts w:ascii="Caladea" w:hAnsi="Caladea" w:hint="eastAsia"/>
                <w:color w:val="111111"/>
                <w:sz w:val="20"/>
                <w:szCs w:val="20"/>
              </w:rPr>
            </w:pPr>
            <w:r>
              <w:rPr>
                <w:rFonts w:ascii="Caladea" w:hAnsi="Caladea"/>
                <w:color w:val="111111"/>
                <w:sz w:val="20"/>
                <w:szCs w:val="20"/>
              </w:rPr>
              <w:t>Honoraires bailleur maximum</w:t>
            </w:r>
          </w:p>
        </w:tc>
      </w:tr>
      <w:tr w:rsidR="008C6244" w14:paraId="01BA6DE5" w14:textId="77777777">
        <w:tblPrEx>
          <w:tblCellMar>
            <w:top w:w="0" w:type="dxa"/>
            <w:bottom w:w="0" w:type="dxa"/>
          </w:tblCellMar>
        </w:tblPrEx>
        <w:tc>
          <w:tcPr>
            <w:tcW w:w="5490" w:type="dxa"/>
            <w:tcBorders>
              <w:left w:val="single" w:sz="2" w:space="0" w:color="000000"/>
              <w:bottom w:val="single" w:sz="2" w:space="0" w:color="000000"/>
            </w:tcBorders>
            <w:tcMar>
              <w:top w:w="55" w:type="dxa"/>
              <w:left w:w="55" w:type="dxa"/>
              <w:bottom w:w="55" w:type="dxa"/>
              <w:right w:w="55" w:type="dxa"/>
            </w:tcMar>
          </w:tcPr>
          <w:p w14:paraId="72E30B5E" w14:textId="77777777" w:rsidR="008C6244" w:rsidRDefault="00000000">
            <w:pPr>
              <w:pStyle w:val="TableContents"/>
              <w:rPr>
                <w:rFonts w:ascii="Caladea" w:hAnsi="Caladea" w:hint="eastAsia"/>
                <w:sz w:val="20"/>
                <w:szCs w:val="20"/>
              </w:rPr>
            </w:pPr>
            <w:r>
              <w:rPr>
                <w:rFonts w:ascii="Caladea" w:hAnsi="Caladea"/>
                <w:sz w:val="20"/>
                <w:szCs w:val="20"/>
              </w:rPr>
              <w:t>Gestion immobilière courante</w:t>
            </w:r>
          </w:p>
        </w:tc>
        <w:tc>
          <w:tcPr>
            <w:tcW w:w="54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381641"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7,50%</w:t>
            </w:r>
            <w:r>
              <w:rPr>
                <w:rFonts w:ascii="Caladea" w:hAnsi="Caladea"/>
                <w:sz w:val="20"/>
                <w:szCs w:val="20"/>
              </w:rPr>
              <w:t xml:space="preserve"> TTC sur les sommes encaissées</w:t>
            </w:r>
          </w:p>
        </w:tc>
      </w:tr>
      <w:tr w:rsidR="008C6244" w14:paraId="74CB72CE" w14:textId="77777777">
        <w:tblPrEx>
          <w:tblCellMar>
            <w:top w:w="0" w:type="dxa"/>
            <w:bottom w:w="0" w:type="dxa"/>
          </w:tblCellMar>
        </w:tblPrEx>
        <w:tc>
          <w:tcPr>
            <w:tcW w:w="5490" w:type="dxa"/>
            <w:tcBorders>
              <w:left w:val="single" w:sz="2" w:space="0" w:color="000000"/>
              <w:bottom w:val="single" w:sz="2" w:space="0" w:color="000000"/>
            </w:tcBorders>
            <w:tcMar>
              <w:top w:w="55" w:type="dxa"/>
              <w:left w:w="55" w:type="dxa"/>
              <w:bottom w:w="55" w:type="dxa"/>
              <w:right w:w="55" w:type="dxa"/>
            </w:tcMar>
          </w:tcPr>
          <w:p w14:paraId="68169918" w14:textId="77777777" w:rsidR="008C6244" w:rsidRDefault="00000000">
            <w:pPr>
              <w:pStyle w:val="TableContents"/>
              <w:rPr>
                <w:rFonts w:ascii="Caladea" w:hAnsi="Caladea" w:hint="eastAsia"/>
                <w:sz w:val="20"/>
                <w:szCs w:val="20"/>
              </w:rPr>
            </w:pPr>
            <w:r>
              <w:rPr>
                <w:rFonts w:ascii="Caladea" w:hAnsi="Caladea"/>
                <w:sz w:val="20"/>
                <w:szCs w:val="20"/>
              </w:rPr>
              <w:t>Déclarations Revenus fonciers propriétaire</w:t>
            </w:r>
          </w:p>
        </w:tc>
        <w:tc>
          <w:tcPr>
            <w:tcW w:w="54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5FC22AF"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40</w:t>
            </w:r>
            <w:proofErr w:type="gramStart"/>
            <w:r>
              <w:rPr>
                <w:rFonts w:ascii="Caladea" w:hAnsi="Caladea"/>
                <w:b/>
                <w:bCs/>
                <w:color w:val="579D1C"/>
                <w:sz w:val="20"/>
                <w:szCs w:val="20"/>
              </w:rPr>
              <w:t>€</w:t>
            </w:r>
            <w:r>
              <w:rPr>
                <w:rFonts w:ascii="Caladea" w:hAnsi="Caladea"/>
                <w:color w:val="FF33FF"/>
                <w:sz w:val="20"/>
                <w:szCs w:val="20"/>
              </w:rPr>
              <w:t xml:space="preserve"> </w:t>
            </w:r>
            <w:r>
              <w:rPr>
                <w:rFonts w:ascii="Caladea" w:hAnsi="Caladea"/>
                <w:sz w:val="20"/>
                <w:szCs w:val="20"/>
              </w:rPr>
              <w:t xml:space="preserve"> TTC</w:t>
            </w:r>
            <w:proofErr w:type="gramEnd"/>
          </w:p>
        </w:tc>
      </w:tr>
      <w:tr w:rsidR="008C6244" w14:paraId="1F7B7D03" w14:textId="77777777">
        <w:tblPrEx>
          <w:tblCellMar>
            <w:top w:w="0" w:type="dxa"/>
            <w:bottom w:w="0" w:type="dxa"/>
          </w:tblCellMar>
        </w:tblPrEx>
        <w:tc>
          <w:tcPr>
            <w:tcW w:w="5490" w:type="dxa"/>
            <w:tcBorders>
              <w:left w:val="single" w:sz="2" w:space="0" w:color="000000"/>
              <w:bottom w:val="single" w:sz="2" w:space="0" w:color="000000"/>
            </w:tcBorders>
            <w:tcMar>
              <w:top w:w="55" w:type="dxa"/>
              <w:left w:w="55" w:type="dxa"/>
              <w:bottom w:w="55" w:type="dxa"/>
              <w:right w:w="55" w:type="dxa"/>
            </w:tcMar>
          </w:tcPr>
          <w:p w14:paraId="3C0043DE" w14:textId="77777777" w:rsidR="008C6244" w:rsidRDefault="00000000">
            <w:pPr>
              <w:pStyle w:val="TableContents"/>
              <w:rPr>
                <w:rFonts w:ascii="Caladea" w:hAnsi="Caladea" w:hint="eastAsia"/>
                <w:sz w:val="20"/>
                <w:szCs w:val="20"/>
              </w:rPr>
            </w:pPr>
            <w:r>
              <w:rPr>
                <w:rFonts w:ascii="Caladea" w:hAnsi="Caladea"/>
                <w:sz w:val="20"/>
                <w:szCs w:val="20"/>
              </w:rPr>
              <w:t>Frais de transmission du dossier contentieux</w:t>
            </w:r>
          </w:p>
        </w:tc>
        <w:tc>
          <w:tcPr>
            <w:tcW w:w="54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387F60"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 xml:space="preserve">30€ </w:t>
            </w:r>
            <w:r>
              <w:rPr>
                <w:rFonts w:ascii="Caladea" w:hAnsi="Caladea"/>
                <w:sz w:val="20"/>
                <w:szCs w:val="20"/>
              </w:rPr>
              <w:t>TTC</w:t>
            </w:r>
          </w:p>
        </w:tc>
      </w:tr>
      <w:tr w:rsidR="008C6244" w14:paraId="344D653D" w14:textId="77777777">
        <w:tblPrEx>
          <w:tblCellMar>
            <w:top w:w="0" w:type="dxa"/>
            <w:bottom w:w="0" w:type="dxa"/>
          </w:tblCellMar>
        </w:tblPrEx>
        <w:tc>
          <w:tcPr>
            <w:tcW w:w="5490" w:type="dxa"/>
            <w:tcBorders>
              <w:left w:val="single" w:sz="2" w:space="0" w:color="000000"/>
              <w:bottom w:val="single" w:sz="2" w:space="0" w:color="000000"/>
            </w:tcBorders>
            <w:tcMar>
              <w:top w:w="55" w:type="dxa"/>
              <w:left w:w="55" w:type="dxa"/>
              <w:bottom w:w="55" w:type="dxa"/>
              <w:right w:w="55" w:type="dxa"/>
            </w:tcMar>
          </w:tcPr>
          <w:p w14:paraId="5F77AEBC" w14:textId="77777777" w:rsidR="008C6244" w:rsidRDefault="00000000">
            <w:pPr>
              <w:pStyle w:val="TableContents"/>
              <w:spacing w:line="240" w:lineRule="auto"/>
              <w:rPr>
                <w:rFonts w:ascii="Caladea" w:hAnsi="Caladea" w:hint="eastAsia"/>
                <w:sz w:val="20"/>
                <w:szCs w:val="20"/>
              </w:rPr>
            </w:pPr>
            <w:r>
              <w:rPr>
                <w:rFonts w:ascii="Caladea" w:hAnsi="Caladea"/>
                <w:sz w:val="20"/>
                <w:szCs w:val="20"/>
              </w:rPr>
              <w:t>Assurance des loyers impayés (GLI</w:t>
            </w:r>
            <w:proofErr w:type="gramStart"/>
            <w:r>
              <w:rPr>
                <w:rFonts w:ascii="Caladea" w:hAnsi="Caladea"/>
                <w:sz w:val="20"/>
                <w:szCs w:val="20"/>
              </w:rPr>
              <w:t>)(</w:t>
            </w:r>
            <w:proofErr w:type="gramEnd"/>
            <w:r>
              <w:rPr>
                <w:rFonts w:ascii="Caladea" w:hAnsi="Caladea"/>
                <w:sz w:val="20"/>
                <w:szCs w:val="20"/>
              </w:rPr>
              <w:t>BAIL HABITATION)</w:t>
            </w:r>
          </w:p>
        </w:tc>
        <w:tc>
          <w:tcPr>
            <w:tcW w:w="54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77498D"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 xml:space="preserve">  2,5%</w:t>
            </w:r>
            <w:r>
              <w:rPr>
                <w:rFonts w:ascii="Caladea" w:hAnsi="Caladea"/>
                <w:color w:val="FF33FF"/>
                <w:sz w:val="20"/>
                <w:szCs w:val="20"/>
              </w:rPr>
              <w:t xml:space="preserve"> </w:t>
            </w:r>
            <w:r>
              <w:rPr>
                <w:rFonts w:ascii="Caladea" w:hAnsi="Caladea"/>
                <w:sz w:val="20"/>
                <w:szCs w:val="20"/>
              </w:rPr>
              <w:t>TTC</w:t>
            </w:r>
          </w:p>
        </w:tc>
      </w:tr>
      <w:tr w:rsidR="008C6244" w14:paraId="18351353" w14:textId="77777777">
        <w:tblPrEx>
          <w:tblCellMar>
            <w:top w:w="0" w:type="dxa"/>
            <w:bottom w:w="0" w:type="dxa"/>
          </w:tblCellMar>
        </w:tblPrEx>
        <w:tc>
          <w:tcPr>
            <w:tcW w:w="5490" w:type="dxa"/>
            <w:tcBorders>
              <w:left w:val="single" w:sz="2" w:space="0" w:color="000000"/>
              <w:bottom w:val="single" w:sz="2" w:space="0" w:color="000000"/>
            </w:tcBorders>
            <w:tcMar>
              <w:top w:w="55" w:type="dxa"/>
              <w:left w:w="55" w:type="dxa"/>
              <w:bottom w:w="55" w:type="dxa"/>
              <w:right w:w="55" w:type="dxa"/>
            </w:tcMar>
          </w:tcPr>
          <w:p w14:paraId="1831A5C9" w14:textId="77777777" w:rsidR="008C6244" w:rsidRDefault="00000000">
            <w:pPr>
              <w:pStyle w:val="TableContents"/>
              <w:spacing w:line="240" w:lineRule="auto"/>
              <w:rPr>
                <w:rFonts w:ascii="Caladea" w:hAnsi="Caladea" w:hint="eastAsia"/>
                <w:sz w:val="20"/>
                <w:szCs w:val="20"/>
              </w:rPr>
            </w:pPr>
            <w:r>
              <w:rPr>
                <w:rFonts w:ascii="Caladea" w:hAnsi="Caladea"/>
                <w:sz w:val="20"/>
                <w:szCs w:val="20"/>
              </w:rPr>
              <w:t>Représentation Assemblée Générale &amp; Expertise</w:t>
            </w:r>
          </w:p>
        </w:tc>
        <w:tc>
          <w:tcPr>
            <w:tcW w:w="54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B1D494"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80€</w:t>
            </w:r>
            <w:r>
              <w:rPr>
                <w:rFonts w:ascii="Caladea" w:hAnsi="Caladea"/>
                <w:color w:val="FF33FF"/>
                <w:sz w:val="20"/>
                <w:szCs w:val="20"/>
              </w:rPr>
              <w:t xml:space="preserve"> </w:t>
            </w:r>
            <w:r>
              <w:rPr>
                <w:rFonts w:ascii="Caladea" w:hAnsi="Caladea"/>
                <w:sz w:val="20"/>
                <w:szCs w:val="20"/>
              </w:rPr>
              <w:t>TTC par heure entamée</w:t>
            </w:r>
          </w:p>
        </w:tc>
      </w:tr>
      <w:tr w:rsidR="008C6244" w14:paraId="2EE4CC40" w14:textId="77777777">
        <w:tblPrEx>
          <w:tblCellMar>
            <w:top w:w="0" w:type="dxa"/>
            <w:bottom w:w="0" w:type="dxa"/>
          </w:tblCellMar>
        </w:tblPrEx>
        <w:trPr>
          <w:trHeight w:val="405"/>
        </w:trPr>
        <w:tc>
          <w:tcPr>
            <w:tcW w:w="5490" w:type="dxa"/>
            <w:tcBorders>
              <w:left w:val="single" w:sz="2" w:space="0" w:color="000000"/>
              <w:bottom w:val="single" w:sz="2" w:space="0" w:color="000000"/>
            </w:tcBorders>
            <w:tcMar>
              <w:top w:w="55" w:type="dxa"/>
              <w:left w:w="55" w:type="dxa"/>
              <w:bottom w:w="55" w:type="dxa"/>
              <w:right w:w="55" w:type="dxa"/>
            </w:tcMar>
          </w:tcPr>
          <w:p w14:paraId="47331DA9" w14:textId="77777777" w:rsidR="008C6244" w:rsidRDefault="00000000">
            <w:pPr>
              <w:pStyle w:val="TableContents"/>
              <w:rPr>
                <w:rFonts w:ascii="Caladea" w:hAnsi="Caladea" w:hint="eastAsia"/>
                <w:sz w:val="20"/>
                <w:szCs w:val="20"/>
              </w:rPr>
            </w:pPr>
            <w:r>
              <w:rPr>
                <w:rFonts w:ascii="Caladea" w:hAnsi="Caladea"/>
                <w:sz w:val="20"/>
                <w:szCs w:val="20"/>
              </w:rPr>
              <w:t>Frais de clôture de dossier de gestion</w:t>
            </w:r>
          </w:p>
          <w:p w14:paraId="0F05B351" w14:textId="77777777" w:rsidR="008C6244" w:rsidRDefault="008C6244">
            <w:pPr>
              <w:pStyle w:val="TableContents"/>
              <w:rPr>
                <w:rFonts w:ascii="Caladea" w:hAnsi="Caladea" w:hint="eastAsia"/>
                <w:sz w:val="20"/>
                <w:szCs w:val="20"/>
              </w:rPr>
            </w:pPr>
          </w:p>
        </w:tc>
        <w:tc>
          <w:tcPr>
            <w:tcW w:w="54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BCD283" w14:textId="77777777" w:rsidR="008C6244" w:rsidRDefault="00000000">
            <w:pPr>
              <w:pStyle w:val="TableContents"/>
              <w:jc w:val="center"/>
              <w:rPr>
                <w:rFonts w:ascii="Caladea" w:hAnsi="Caladea" w:hint="eastAsia"/>
                <w:sz w:val="20"/>
                <w:szCs w:val="20"/>
              </w:rPr>
            </w:pPr>
            <w:r>
              <w:rPr>
                <w:rFonts w:ascii="Caladea" w:hAnsi="Caladea"/>
                <w:b/>
                <w:bCs/>
                <w:color w:val="579D1C"/>
                <w:sz w:val="20"/>
                <w:szCs w:val="20"/>
              </w:rPr>
              <w:t xml:space="preserve">200€ </w:t>
            </w:r>
            <w:r>
              <w:rPr>
                <w:rFonts w:ascii="Caladea" w:hAnsi="Caladea"/>
                <w:sz w:val="20"/>
                <w:szCs w:val="20"/>
              </w:rPr>
              <w:t>TTC par lot à la charge du mandat</w:t>
            </w:r>
          </w:p>
        </w:tc>
      </w:tr>
    </w:tbl>
    <w:p w14:paraId="1A7C72DE" w14:textId="77777777" w:rsidR="008C6244" w:rsidRDefault="008C6244">
      <w:pPr>
        <w:pStyle w:val="Standard"/>
        <w:rPr>
          <w:sz w:val="26"/>
          <w:szCs w:val="26"/>
        </w:rPr>
      </w:pPr>
    </w:p>
    <w:sectPr w:rsidR="008C6244">
      <w:pgSz w:w="11906" w:h="16838"/>
      <w:pgMar w:top="0" w:right="446" w:bottom="1440" w:left="4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A3CA" w14:textId="77777777" w:rsidR="00900F72" w:rsidRDefault="00900F72">
      <w:pPr>
        <w:spacing w:after="0" w:line="240" w:lineRule="auto"/>
      </w:pPr>
      <w:r>
        <w:separator/>
      </w:r>
    </w:p>
  </w:endnote>
  <w:endnote w:type="continuationSeparator" w:id="0">
    <w:p w14:paraId="7B3CC2BA" w14:textId="77777777" w:rsidR="00900F72" w:rsidRDefault="0090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Caladea">
    <w:altName w:val="Cambria"/>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3A72" w14:textId="77777777" w:rsidR="00900F72" w:rsidRDefault="00900F72">
      <w:pPr>
        <w:spacing w:after="0" w:line="240" w:lineRule="auto"/>
      </w:pPr>
      <w:r>
        <w:rPr>
          <w:color w:val="000000"/>
        </w:rPr>
        <w:separator/>
      </w:r>
    </w:p>
  </w:footnote>
  <w:footnote w:type="continuationSeparator" w:id="0">
    <w:p w14:paraId="67E2B02A" w14:textId="77777777" w:rsidR="00900F72" w:rsidRDefault="00900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618FB"/>
    <w:multiLevelType w:val="multilevel"/>
    <w:tmpl w:val="F18E9F7E"/>
    <w:styleLink w:val="WWNum1"/>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16cid:durableId="58218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C6244"/>
    <w:rsid w:val="000C2DEA"/>
    <w:rsid w:val="008C6244"/>
    <w:rsid w:val="00900F72"/>
    <w:rsid w:val="00E74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41E8"/>
  <w15:docId w15:val="{45A5324D-7BC7-4890-B6C3-0CBA6A5C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fr-F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character" w:customStyle="1" w:styleId="Internetlink">
    <w:name w:val="Internet link"/>
    <w:rPr>
      <w:color w:val="000080"/>
      <w:u w:val="single"/>
      <w:lang/>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2611</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FRANCOISE</dc:creator>
  <cp:lastModifiedBy>cindyfrancoise89@gmail.com</cp:lastModifiedBy>
  <cp:revision>2</cp:revision>
  <cp:lastPrinted>2025-08-26T10:22:00Z</cp:lastPrinted>
  <dcterms:created xsi:type="dcterms:W3CDTF">2025-08-26T10:23:00Z</dcterms:created>
  <dcterms:modified xsi:type="dcterms:W3CDTF">2025-08-26T10:23:00Z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